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00" w:rsidRDefault="00E11800" w:rsidP="00E11800">
      <w:pPr>
        <w:sectPr w:rsidR="00E11800" w:rsidSect="002E35D7">
          <w:headerReference w:type="default" r:id="rId9"/>
          <w:footerReference w:type="default" r:id="rId10"/>
          <w:pgSz w:w="11907" w:h="16840" w:code="9"/>
          <w:pgMar w:top="1134" w:right="851" w:bottom="851" w:left="1134" w:header="283" w:footer="283" w:gutter="0"/>
          <w:cols w:space="720"/>
          <w:docGrid w:linePitch="360"/>
        </w:sectPr>
      </w:pPr>
      <w:bookmarkStart w:id="0" w:name="_GoBack"/>
      <w:bookmarkEnd w:id="0"/>
    </w:p>
    <w:p w:rsidR="00E11800" w:rsidRDefault="00E11800" w:rsidP="00E11800">
      <w:pPr>
        <w:numPr>
          <w:ilvl w:val="0"/>
          <w:numId w:val="1"/>
        </w:numPr>
        <w:tabs>
          <w:tab w:val="clear" w:pos="720"/>
          <w:tab w:val="num" w:pos="540"/>
        </w:tabs>
        <w:spacing w:line="360" w:lineRule="auto"/>
        <w:ind w:left="540" w:hanging="540"/>
        <w:rPr>
          <w:b/>
          <w:szCs w:val="22"/>
        </w:rPr>
      </w:pPr>
      <w:r w:rsidRPr="008C7FD1">
        <w:rPr>
          <w:b/>
          <w:szCs w:val="22"/>
        </w:rPr>
        <w:lastRenderedPageBreak/>
        <w:t>Purpose of pro</w:t>
      </w:r>
      <w:r>
        <w:rPr>
          <w:b/>
          <w:szCs w:val="22"/>
        </w:rPr>
        <w:t>tocol</w:t>
      </w:r>
      <w:r w:rsidRPr="008C7FD1">
        <w:rPr>
          <w:b/>
          <w:szCs w:val="22"/>
        </w:rPr>
        <w:t xml:space="preserve"> </w:t>
      </w:r>
    </w:p>
    <w:p w:rsidR="00E11800" w:rsidRDefault="00E11800" w:rsidP="00E11800">
      <w:pPr>
        <w:spacing w:line="360" w:lineRule="auto"/>
        <w:ind w:left="284" w:hanging="284"/>
        <w:rPr>
          <w:szCs w:val="22"/>
        </w:rPr>
      </w:pPr>
      <w:r>
        <w:rPr>
          <w:szCs w:val="22"/>
        </w:rPr>
        <w:tab/>
        <w:t xml:space="preserve">To </w:t>
      </w:r>
      <w:r w:rsidR="00FB26AE">
        <w:rPr>
          <w:szCs w:val="22"/>
        </w:rPr>
        <w:t xml:space="preserve">describe Endotoxin Testing </w:t>
      </w:r>
      <w:r w:rsidR="00E5741A">
        <w:rPr>
          <w:szCs w:val="22"/>
        </w:rPr>
        <w:t>using the Charles River PTS instrument.</w:t>
      </w:r>
    </w:p>
    <w:p w:rsidR="00E11800" w:rsidRDefault="00E11800" w:rsidP="00E5741A">
      <w:pPr>
        <w:spacing w:line="360" w:lineRule="auto"/>
        <w:rPr>
          <w:b/>
          <w:szCs w:val="22"/>
        </w:rPr>
      </w:pPr>
    </w:p>
    <w:p w:rsidR="00E11800" w:rsidRPr="00B56628" w:rsidRDefault="00E11800" w:rsidP="00E11800">
      <w:pPr>
        <w:numPr>
          <w:ilvl w:val="0"/>
          <w:numId w:val="1"/>
        </w:numPr>
        <w:tabs>
          <w:tab w:val="clear" w:pos="720"/>
          <w:tab w:val="num" w:pos="540"/>
        </w:tabs>
        <w:spacing w:line="360" w:lineRule="auto"/>
        <w:ind w:left="540" w:hanging="540"/>
        <w:rPr>
          <w:szCs w:val="22"/>
        </w:rPr>
      </w:pPr>
      <w:r w:rsidRPr="00B56628">
        <w:rPr>
          <w:b/>
          <w:szCs w:val="22"/>
        </w:rPr>
        <w:t>Introduction</w:t>
      </w:r>
    </w:p>
    <w:p w:rsidR="00A601EF" w:rsidRPr="00A601EF" w:rsidRDefault="00E11800" w:rsidP="00E5741A">
      <w:pPr>
        <w:tabs>
          <w:tab w:val="num" w:pos="284"/>
          <w:tab w:val="left" w:pos="567"/>
        </w:tabs>
        <w:spacing w:line="360" w:lineRule="auto"/>
        <w:rPr>
          <w:rFonts w:cs="Arial"/>
          <w:szCs w:val="22"/>
          <w:lang w:val="en-NZ" w:eastAsia="en-NZ"/>
        </w:rPr>
      </w:pPr>
      <w:r w:rsidRPr="00E5741A">
        <w:rPr>
          <w:szCs w:val="22"/>
        </w:rPr>
        <w:tab/>
      </w:r>
      <w:r w:rsidR="00A601EF" w:rsidRPr="00E5741A">
        <w:rPr>
          <w:rFonts w:cs="Arial"/>
          <w:szCs w:val="22"/>
          <w:lang w:val="en-NZ" w:eastAsia="en-NZ"/>
        </w:rPr>
        <w:t>Endotoxins</w:t>
      </w:r>
      <w:r w:rsidR="00A601EF" w:rsidRPr="00A601EF">
        <w:rPr>
          <w:rFonts w:cs="Arial"/>
          <w:szCs w:val="22"/>
          <w:lang w:val="en-NZ" w:eastAsia="en-NZ"/>
        </w:rPr>
        <w:t xml:space="preserve"> are major component of the outer cell wall of gram-negative bacteria</w:t>
      </w:r>
      <w:r w:rsidR="00A601EF">
        <w:rPr>
          <w:rFonts w:cs="Arial"/>
          <w:szCs w:val="22"/>
          <w:lang w:val="en-NZ" w:eastAsia="en-NZ"/>
        </w:rPr>
        <w:t xml:space="preserve">. </w:t>
      </w:r>
      <w:r w:rsidR="00E5741A">
        <w:rPr>
          <w:rFonts w:cs="Arial"/>
          <w:szCs w:val="22"/>
          <w:lang w:val="en-NZ" w:eastAsia="en-NZ"/>
        </w:rPr>
        <w:t>They</w:t>
      </w:r>
      <w:r w:rsidR="00A601EF">
        <w:rPr>
          <w:rFonts w:cs="Arial"/>
          <w:szCs w:val="22"/>
          <w:lang w:val="en-NZ" w:eastAsia="en-NZ"/>
        </w:rPr>
        <w:t xml:space="preserve"> are</w:t>
      </w:r>
      <w:r w:rsidR="00E5741A">
        <w:rPr>
          <w:rFonts w:cs="Arial"/>
          <w:szCs w:val="22"/>
          <w:lang w:val="en-NZ" w:eastAsia="en-NZ"/>
        </w:rPr>
        <w:t xml:space="preserve"> lipopolysaccharides </w:t>
      </w:r>
      <w:r w:rsidR="00A601EF" w:rsidRPr="00A601EF">
        <w:rPr>
          <w:rFonts w:cs="Arial"/>
          <w:szCs w:val="22"/>
          <w:lang w:val="en-NZ" w:eastAsia="en-NZ"/>
        </w:rPr>
        <w:t>which consist of a polysaccharide chain covalently bound to lipid A.</w:t>
      </w:r>
    </w:p>
    <w:p w:rsidR="00C75DD8" w:rsidRPr="00A601EF" w:rsidRDefault="00A601EF" w:rsidP="00E5741A">
      <w:pPr>
        <w:autoSpaceDE w:val="0"/>
        <w:autoSpaceDN w:val="0"/>
        <w:adjustRightInd w:val="0"/>
        <w:spacing w:line="360" w:lineRule="auto"/>
        <w:rPr>
          <w:szCs w:val="22"/>
        </w:rPr>
      </w:pPr>
      <w:r w:rsidRPr="00A601EF">
        <w:rPr>
          <w:rFonts w:cs="Arial"/>
          <w:szCs w:val="22"/>
          <w:lang w:val="en-NZ" w:eastAsia="en-NZ"/>
        </w:rPr>
        <w:t>Endotoxins can acutely activate both humoral and cellular host defences, leading to a syndrome characterized by fever,</w:t>
      </w:r>
      <w:r w:rsidR="00E5741A">
        <w:rPr>
          <w:rFonts w:cs="Arial"/>
          <w:szCs w:val="22"/>
          <w:lang w:val="en-NZ" w:eastAsia="en-NZ"/>
        </w:rPr>
        <w:t xml:space="preserve"> </w:t>
      </w:r>
      <w:r w:rsidRPr="00A601EF">
        <w:rPr>
          <w:rFonts w:cs="Arial"/>
          <w:szCs w:val="22"/>
          <w:lang w:val="en-NZ" w:eastAsia="en-NZ"/>
        </w:rPr>
        <w:t>shaking, chills, hypotension, multiple organ failure and even death if allowed to enter into circulation in a sufficient dose.</w:t>
      </w:r>
      <w:r w:rsidR="00C75DD8" w:rsidRPr="00A601EF">
        <w:rPr>
          <w:szCs w:val="22"/>
        </w:rPr>
        <w:t xml:space="preserve"> Long term exposure to</w:t>
      </w:r>
      <w:r>
        <w:rPr>
          <w:szCs w:val="22"/>
        </w:rPr>
        <w:t xml:space="preserve"> low levels of endotoxins</w:t>
      </w:r>
      <w:r w:rsidR="00C75DD8" w:rsidRPr="00A601EF">
        <w:rPr>
          <w:szCs w:val="22"/>
        </w:rPr>
        <w:t xml:space="preserve"> is suspected to contribute to complications such as </w:t>
      </w:r>
      <w:r w:rsidR="00EB1122" w:rsidRPr="00A601EF">
        <w:rPr>
          <w:szCs w:val="22"/>
        </w:rPr>
        <w:t xml:space="preserve">cardiac disease, further diminishing patient quality of life, increasing physician treatment and </w:t>
      </w:r>
      <w:r w:rsidR="00205068" w:rsidRPr="00A601EF">
        <w:rPr>
          <w:szCs w:val="22"/>
        </w:rPr>
        <w:t>medical costs.</w:t>
      </w:r>
      <w:r w:rsidR="00C36ACB" w:rsidRPr="00A601EF">
        <w:rPr>
          <w:szCs w:val="22"/>
        </w:rPr>
        <w:t xml:space="preserve"> </w:t>
      </w:r>
      <w:r w:rsidR="00E5741A">
        <w:rPr>
          <w:szCs w:val="22"/>
        </w:rPr>
        <w:t>Testing for Endotoxins as a function of product release criteria can ensure patients are not exposed to harmful toxins.</w:t>
      </w:r>
    </w:p>
    <w:p w:rsidR="00C75DD8" w:rsidRPr="00B56628" w:rsidRDefault="00C75DD8" w:rsidP="00C75DD8">
      <w:pPr>
        <w:tabs>
          <w:tab w:val="num" w:pos="284"/>
          <w:tab w:val="left" w:pos="567"/>
        </w:tabs>
        <w:spacing w:line="360" w:lineRule="auto"/>
        <w:rPr>
          <w:b/>
          <w:szCs w:val="22"/>
        </w:rPr>
      </w:pPr>
    </w:p>
    <w:p w:rsidR="00E11800" w:rsidRPr="00B56628" w:rsidRDefault="006F45C3" w:rsidP="00E11800">
      <w:pPr>
        <w:numPr>
          <w:ilvl w:val="0"/>
          <w:numId w:val="1"/>
        </w:numPr>
        <w:tabs>
          <w:tab w:val="clear" w:pos="720"/>
          <w:tab w:val="num" w:pos="540"/>
        </w:tabs>
        <w:spacing w:line="360" w:lineRule="auto"/>
        <w:ind w:left="540" w:hanging="540"/>
        <w:rPr>
          <w:b/>
          <w:szCs w:val="22"/>
        </w:rPr>
      </w:pPr>
      <w:r>
        <w:rPr>
          <w:b/>
          <w:szCs w:val="22"/>
        </w:rPr>
        <w:t>Surveillance</w:t>
      </w:r>
      <w:r w:rsidR="00E11800" w:rsidRPr="00B56628">
        <w:rPr>
          <w:b/>
          <w:szCs w:val="22"/>
        </w:rPr>
        <w:t xml:space="preserve"> Methods</w:t>
      </w:r>
    </w:p>
    <w:p w:rsidR="00E11800" w:rsidRDefault="00E11800" w:rsidP="00E5741A">
      <w:pPr>
        <w:tabs>
          <w:tab w:val="left" w:pos="284"/>
        </w:tabs>
        <w:spacing w:line="360" w:lineRule="auto"/>
        <w:rPr>
          <w:szCs w:val="22"/>
        </w:rPr>
      </w:pPr>
      <w:r>
        <w:rPr>
          <w:szCs w:val="22"/>
        </w:rPr>
        <w:tab/>
      </w:r>
      <w:r w:rsidR="00C36ACB">
        <w:rPr>
          <w:szCs w:val="22"/>
        </w:rPr>
        <w:t>Endotoxins can be detected with Lim</w:t>
      </w:r>
      <w:r w:rsidR="00A601EF">
        <w:rPr>
          <w:szCs w:val="22"/>
        </w:rPr>
        <w:t>ulus Amoebocyte Lysate and is measured in Endotoxin Units per millilitre, EU/mL.</w:t>
      </w:r>
      <w:r w:rsidR="00FB26AE">
        <w:rPr>
          <w:szCs w:val="22"/>
        </w:rPr>
        <w:t xml:space="preserve"> The Charles River Endosafe PTS instrument and cartridges use the Kinetic Chromogenic method for Endotoxin detection.</w:t>
      </w:r>
      <w:r w:rsidR="00E21564">
        <w:rPr>
          <w:szCs w:val="22"/>
        </w:rPr>
        <w:t xml:space="preserve"> The PTS is a spectrophotometer with heater, pump and on board software for data analysis.</w:t>
      </w:r>
    </w:p>
    <w:p w:rsidR="009F259C" w:rsidRPr="00B56628" w:rsidRDefault="009F259C" w:rsidP="009F259C">
      <w:pPr>
        <w:spacing w:line="360" w:lineRule="auto"/>
        <w:ind w:left="284" w:hanging="284"/>
        <w:rPr>
          <w:szCs w:val="22"/>
        </w:rPr>
      </w:pPr>
    </w:p>
    <w:p w:rsidR="001B3827" w:rsidRPr="00E5741A" w:rsidRDefault="00E11800" w:rsidP="00E5741A">
      <w:pPr>
        <w:numPr>
          <w:ilvl w:val="0"/>
          <w:numId w:val="1"/>
        </w:numPr>
        <w:tabs>
          <w:tab w:val="clear" w:pos="720"/>
          <w:tab w:val="num" w:pos="540"/>
        </w:tabs>
        <w:spacing w:line="360" w:lineRule="auto"/>
        <w:ind w:left="540" w:hanging="540"/>
        <w:rPr>
          <w:szCs w:val="22"/>
        </w:rPr>
      </w:pPr>
      <w:r>
        <w:rPr>
          <w:b/>
          <w:szCs w:val="22"/>
        </w:rPr>
        <w:t>Surveillance Requirements</w:t>
      </w:r>
    </w:p>
    <w:p w:rsidR="00DC421A" w:rsidRDefault="00E5741A" w:rsidP="00E5741A">
      <w:pPr>
        <w:tabs>
          <w:tab w:val="left" w:pos="284"/>
        </w:tabs>
        <w:spacing w:line="360" w:lineRule="auto"/>
        <w:rPr>
          <w:sz w:val="18"/>
          <w:szCs w:val="18"/>
        </w:rPr>
      </w:pPr>
      <w:r>
        <w:rPr>
          <w:szCs w:val="22"/>
        </w:rPr>
        <w:t xml:space="preserve">     </w:t>
      </w:r>
      <w:r w:rsidR="00A2070B">
        <w:rPr>
          <w:szCs w:val="22"/>
        </w:rPr>
        <w:t>Three samples from each batch should be tested prior to product release, it is recommended samples from beginning, middle and end of product</w:t>
      </w:r>
      <w:r w:rsidR="00FB3E40">
        <w:rPr>
          <w:szCs w:val="22"/>
        </w:rPr>
        <w:t>ion</w:t>
      </w:r>
      <w:r w:rsidR="00A2070B">
        <w:rPr>
          <w:szCs w:val="22"/>
        </w:rPr>
        <w:t xml:space="preserve"> be taken for testing. </w:t>
      </w:r>
      <w:r w:rsidR="00FB3E40">
        <w:rPr>
          <w:szCs w:val="22"/>
        </w:rPr>
        <w:t>Specific</w:t>
      </w:r>
      <w:r>
        <w:rPr>
          <w:szCs w:val="22"/>
        </w:rPr>
        <w:t xml:space="preserve"> product requirements </w:t>
      </w:r>
      <w:r w:rsidR="00FB3E40">
        <w:rPr>
          <w:szCs w:val="22"/>
        </w:rPr>
        <w:t xml:space="preserve">can be </w:t>
      </w:r>
      <w:r>
        <w:rPr>
          <w:szCs w:val="22"/>
        </w:rPr>
        <w:t>found in individual quality control standard operating procedures.</w:t>
      </w:r>
    </w:p>
    <w:p w:rsidR="00DC421A" w:rsidRDefault="00DC421A" w:rsidP="00E11800">
      <w:pPr>
        <w:spacing w:line="360" w:lineRule="auto"/>
        <w:ind w:left="284" w:hanging="284"/>
        <w:rPr>
          <w:sz w:val="18"/>
          <w:szCs w:val="18"/>
        </w:rPr>
      </w:pPr>
    </w:p>
    <w:p w:rsidR="00E11800" w:rsidRPr="00E5741A" w:rsidRDefault="00E11800" w:rsidP="00E11800">
      <w:pPr>
        <w:numPr>
          <w:ilvl w:val="0"/>
          <w:numId w:val="1"/>
        </w:numPr>
        <w:tabs>
          <w:tab w:val="clear" w:pos="720"/>
          <w:tab w:val="num" w:pos="540"/>
        </w:tabs>
        <w:spacing w:line="360" w:lineRule="auto"/>
        <w:ind w:left="540" w:hanging="540"/>
        <w:rPr>
          <w:szCs w:val="22"/>
        </w:rPr>
      </w:pPr>
      <w:r>
        <w:rPr>
          <w:b/>
          <w:szCs w:val="22"/>
        </w:rPr>
        <w:t>Surveillance Parameters</w:t>
      </w:r>
    </w:p>
    <w:p w:rsidR="00E5741A" w:rsidRPr="00AD30B8" w:rsidRDefault="00FB3E40" w:rsidP="00E5741A">
      <w:pPr>
        <w:spacing w:line="360" w:lineRule="auto"/>
        <w:ind w:left="284"/>
        <w:rPr>
          <w:szCs w:val="22"/>
        </w:rPr>
      </w:pPr>
      <w:r>
        <w:rPr>
          <w:szCs w:val="22"/>
        </w:rPr>
        <w:t>The standards required are based on dosage over time and the weight of recipient. Specific</w:t>
      </w:r>
      <w:r w:rsidR="00E5741A">
        <w:rPr>
          <w:szCs w:val="22"/>
        </w:rPr>
        <w:t xml:space="preserve"> product requirements found in individual quality control standard operating procedures.</w:t>
      </w:r>
    </w:p>
    <w:p w:rsidR="00DD29D2" w:rsidRDefault="00E11800" w:rsidP="00E5741A">
      <w:pPr>
        <w:spacing w:line="360" w:lineRule="auto"/>
        <w:ind w:left="284" w:hanging="284"/>
        <w:rPr>
          <w:szCs w:val="22"/>
        </w:rPr>
      </w:pPr>
      <w:r>
        <w:rPr>
          <w:b/>
          <w:szCs w:val="22"/>
        </w:rPr>
        <w:tab/>
      </w:r>
    </w:p>
    <w:p w:rsidR="00E11800" w:rsidRDefault="00E11800" w:rsidP="00130D4F">
      <w:pPr>
        <w:spacing w:line="360" w:lineRule="auto"/>
        <w:rPr>
          <w:b/>
          <w:szCs w:val="22"/>
        </w:rPr>
      </w:pPr>
      <w:r>
        <w:br w:type="page"/>
      </w:r>
      <w:r w:rsidRPr="00886E93">
        <w:rPr>
          <w:b/>
          <w:sz w:val="20"/>
        </w:rPr>
        <w:lastRenderedPageBreak/>
        <w:t xml:space="preserve">APPENDIX </w:t>
      </w:r>
      <w:r w:rsidR="0002278A" w:rsidRPr="00886E93">
        <w:rPr>
          <w:b/>
          <w:sz w:val="20"/>
        </w:rPr>
        <w:t>1</w:t>
      </w:r>
      <w:r w:rsidRPr="00886E93">
        <w:rPr>
          <w:b/>
          <w:sz w:val="20"/>
        </w:rPr>
        <w:tab/>
      </w:r>
      <w:r w:rsidRPr="00886E93">
        <w:rPr>
          <w:b/>
          <w:sz w:val="20"/>
        </w:rPr>
        <w:tab/>
      </w:r>
      <w:r w:rsidRPr="00886E93">
        <w:rPr>
          <w:b/>
          <w:szCs w:val="22"/>
        </w:rPr>
        <w:t>ENDOSAFE PTS METER OPERATING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886E93" w:rsidRPr="00DA6460" w:rsidTr="00DA6460">
        <w:tc>
          <w:tcPr>
            <w:tcW w:w="10138" w:type="dxa"/>
            <w:shd w:val="clear" w:color="auto" w:fill="auto"/>
          </w:tcPr>
          <w:p w:rsidR="00886E93" w:rsidRPr="00DA6460" w:rsidRDefault="00886E93" w:rsidP="00DA6460">
            <w:pPr>
              <w:spacing w:line="360" w:lineRule="auto"/>
              <w:jc w:val="center"/>
              <w:rPr>
                <w:b/>
                <w:szCs w:val="22"/>
                <w:u w:val="single"/>
              </w:rPr>
            </w:pPr>
            <w:r w:rsidRPr="00DA6460">
              <w:rPr>
                <w:b/>
                <w:szCs w:val="22"/>
                <w:u w:val="single"/>
              </w:rPr>
              <w:t>Biohazard Protection</w:t>
            </w:r>
          </w:p>
          <w:p w:rsidR="00886E93" w:rsidRPr="00CA7CDE" w:rsidRDefault="00886E93" w:rsidP="00DA6460">
            <w:pPr>
              <w:numPr>
                <w:ilvl w:val="0"/>
                <w:numId w:val="11"/>
              </w:numPr>
              <w:spacing w:line="360" w:lineRule="auto"/>
              <w:rPr>
                <w:szCs w:val="22"/>
              </w:rPr>
            </w:pPr>
            <w:r w:rsidRPr="00CA7CDE">
              <w:rPr>
                <w:szCs w:val="22"/>
              </w:rPr>
              <w:t xml:space="preserve">Wear gloves while collecting, </w:t>
            </w:r>
            <w:r w:rsidR="00CA7CDE">
              <w:rPr>
                <w:szCs w:val="22"/>
              </w:rPr>
              <w:t>handling and testing the sample and test reagents.</w:t>
            </w:r>
          </w:p>
        </w:tc>
      </w:tr>
      <w:tr w:rsidR="00886E93" w:rsidRPr="00DA6460" w:rsidTr="00DA6460">
        <w:tc>
          <w:tcPr>
            <w:tcW w:w="10138" w:type="dxa"/>
            <w:shd w:val="clear" w:color="auto" w:fill="auto"/>
          </w:tcPr>
          <w:p w:rsidR="00886E93" w:rsidRPr="002E35D7" w:rsidRDefault="00886E93" w:rsidP="00DA6460">
            <w:pPr>
              <w:spacing w:line="360" w:lineRule="auto"/>
              <w:jc w:val="center"/>
              <w:rPr>
                <w:b/>
                <w:szCs w:val="22"/>
                <w:u w:val="single"/>
              </w:rPr>
            </w:pPr>
            <w:r w:rsidRPr="002E35D7">
              <w:rPr>
                <w:b/>
                <w:szCs w:val="22"/>
                <w:u w:val="single"/>
              </w:rPr>
              <w:t>Specimen Requirements</w:t>
            </w:r>
          </w:p>
          <w:p w:rsidR="002E35D7" w:rsidRDefault="002E35D7" w:rsidP="002E35D7">
            <w:pPr>
              <w:numPr>
                <w:ilvl w:val="0"/>
                <w:numId w:val="11"/>
              </w:numPr>
              <w:rPr>
                <w:szCs w:val="22"/>
              </w:rPr>
            </w:pPr>
            <w:r w:rsidRPr="002E35D7">
              <w:rPr>
                <w:szCs w:val="22"/>
              </w:rPr>
              <w:t>Prepare sample as per individual Endotoxin Test method.</w:t>
            </w:r>
          </w:p>
          <w:p w:rsidR="002E35D7" w:rsidRDefault="002E35D7" w:rsidP="002E35D7">
            <w:pPr>
              <w:numPr>
                <w:ilvl w:val="0"/>
                <w:numId w:val="11"/>
              </w:numPr>
              <w:rPr>
                <w:szCs w:val="22"/>
              </w:rPr>
            </w:pPr>
            <w:r>
              <w:rPr>
                <w:szCs w:val="22"/>
              </w:rPr>
              <w:t>Test at room temperature as cold samples can cause condensation within the instrument and interfere with optical readings.</w:t>
            </w:r>
          </w:p>
          <w:p w:rsidR="002E35D7" w:rsidRDefault="002E35D7" w:rsidP="002E35D7">
            <w:pPr>
              <w:numPr>
                <w:ilvl w:val="0"/>
                <w:numId w:val="11"/>
              </w:numPr>
              <w:rPr>
                <w:szCs w:val="22"/>
              </w:rPr>
            </w:pPr>
            <w:r>
              <w:rPr>
                <w:szCs w:val="22"/>
              </w:rPr>
              <w:t>It is recommended to assay samples as soon as possible</w:t>
            </w:r>
            <w:r w:rsidR="00422D03">
              <w:rPr>
                <w:szCs w:val="22"/>
              </w:rPr>
              <w:t>, storage can result in false negative results due to interference from storage container or agents contained in sample.</w:t>
            </w:r>
          </w:p>
          <w:p w:rsidR="002E35D7" w:rsidRDefault="002E35D7" w:rsidP="002E35D7">
            <w:pPr>
              <w:ind w:left="720"/>
              <w:rPr>
                <w:szCs w:val="22"/>
              </w:rPr>
            </w:pPr>
          </w:p>
          <w:p w:rsidR="002E35D7" w:rsidRDefault="002E35D7" w:rsidP="002E35D7">
            <w:pPr>
              <w:spacing w:line="360" w:lineRule="auto"/>
              <w:jc w:val="center"/>
              <w:rPr>
                <w:b/>
                <w:szCs w:val="22"/>
                <w:u w:val="single"/>
              </w:rPr>
            </w:pPr>
            <w:r w:rsidRPr="002E35D7">
              <w:rPr>
                <w:b/>
                <w:szCs w:val="22"/>
                <w:u w:val="single"/>
              </w:rPr>
              <w:t>Running a Sample</w:t>
            </w:r>
          </w:p>
          <w:p w:rsidR="00422D03" w:rsidRPr="00422D03" w:rsidRDefault="00422D03" w:rsidP="00CA7CDE">
            <w:pPr>
              <w:numPr>
                <w:ilvl w:val="0"/>
                <w:numId w:val="12"/>
              </w:numPr>
            </w:pPr>
            <w:r w:rsidRPr="00422D03">
              <w:t>Ensure cartridges are at room temperature for at least 15 minutes prior to use.</w:t>
            </w:r>
          </w:p>
          <w:p w:rsidR="00422D03" w:rsidRPr="00422D03" w:rsidRDefault="00422D03" w:rsidP="00CA7CDE">
            <w:pPr>
              <w:numPr>
                <w:ilvl w:val="0"/>
                <w:numId w:val="12"/>
              </w:numPr>
            </w:pPr>
            <w:r w:rsidRPr="00422D03">
              <w:t xml:space="preserve">Press the MENU key to turn the reader on. The reader begins a System </w:t>
            </w:r>
            <w:r w:rsidR="006C3582" w:rsidRPr="00422D03">
              <w:t>Self-Test</w:t>
            </w:r>
            <w:r w:rsidRPr="00422D03">
              <w:t xml:space="preserve"> and heats up to 37°C in approx. 5 mins.</w:t>
            </w:r>
          </w:p>
          <w:p w:rsidR="00422D03" w:rsidRPr="00422D03" w:rsidRDefault="00422D03" w:rsidP="00CA7CDE">
            <w:pPr>
              <w:numPr>
                <w:ilvl w:val="0"/>
                <w:numId w:val="13"/>
              </w:numPr>
            </w:pPr>
            <w:r w:rsidRPr="00422D03">
              <w:t xml:space="preserve">The display will change from </w:t>
            </w:r>
            <w:r w:rsidR="006C3582" w:rsidRPr="00422D03">
              <w:t>Self-Test</w:t>
            </w:r>
            <w:r w:rsidRPr="00422D03">
              <w:t xml:space="preserve"> to INSERT CARTRIDGE.</w:t>
            </w:r>
          </w:p>
          <w:p w:rsidR="00422D03" w:rsidRPr="00422D03" w:rsidRDefault="00422D03" w:rsidP="00CA7CDE">
            <w:pPr>
              <w:numPr>
                <w:ilvl w:val="0"/>
                <w:numId w:val="13"/>
              </w:numPr>
            </w:pPr>
            <w:r w:rsidRPr="00422D03">
              <w:t xml:space="preserve">Remove cartridge from the pouch by </w:t>
            </w:r>
            <w:r w:rsidR="00D63F12">
              <w:t>tearing the foil</w:t>
            </w:r>
            <w:r w:rsidR="00EF72E3">
              <w:t>. T</w:t>
            </w:r>
            <w:r w:rsidRPr="00422D03">
              <w:t xml:space="preserve">ouching the edges of the cartridge </w:t>
            </w:r>
            <w:r w:rsidR="00EF72E3">
              <w:t xml:space="preserve">so not to contaminate the optical wells </w:t>
            </w:r>
            <w:r w:rsidRPr="00422D03">
              <w:t>and insert the cartridge firmly in to the reader with the sample reservoirs facing upwards.</w:t>
            </w:r>
          </w:p>
          <w:p w:rsidR="00422D03" w:rsidRPr="00422D03" w:rsidRDefault="00422D03" w:rsidP="00CA7CDE">
            <w:pPr>
              <w:numPr>
                <w:ilvl w:val="0"/>
                <w:numId w:val="13"/>
              </w:numPr>
            </w:pPr>
            <w:r w:rsidRPr="00422D03">
              <w:t>Enter your Employee ID</w:t>
            </w:r>
            <w:r w:rsidR="00EF72E3">
              <w:t xml:space="preserve"> at the ENTER ID prompt, press enter button.</w:t>
            </w:r>
          </w:p>
          <w:p w:rsidR="00422D03" w:rsidRPr="00422D03" w:rsidRDefault="00422D03" w:rsidP="00CA7CDE">
            <w:pPr>
              <w:numPr>
                <w:ilvl w:val="0"/>
                <w:numId w:val="13"/>
              </w:numPr>
            </w:pPr>
            <w:r w:rsidRPr="00422D03">
              <w:t>Enter the Cartridge Lot number at the ENTER LOT # prompt.</w:t>
            </w:r>
          </w:p>
          <w:p w:rsidR="00422D03" w:rsidRPr="00422D03" w:rsidRDefault="00422D03" w:rsidP="00CA7CDE">
            <w:pPr>
              <w:numPr>
                <w:ilvl w:val="0"/>
                <w:numId w:val="13"/>
              </w:numPr>
            </w:pPr>
            <w:r w:rsidRPr="00422D03">
              <w:t>Carefully enter the Calibration Code found on Certificate of Analysis and check that the numbers match exactly.</w:t>
            </w:r>
          </w:p>
          <w:p w:rsidR="00422D03" w:rsidRPr="00422D03" w:rsidRDefault="00EF72E3" w:rsidP="00CA7CDE">
            <w:pPr>
              <w:numPr>
                <w:ilvl w:val="0"/>
                <w:numId w:val="13"/>
              </w:numPr>
            </w:pPr>
            <w:r>
              <w:t>Enter required information at</w:t>
            </w:r>
            <w:r w:rsidR="00422D03" w:rsidRPr="00422D03">
              <w:t xml:space="preserve"> Sample Lot # prompt.</w:t>
            </w:r>
          </w:p>
          <w:p w:rsidR="00422D03" w:rsidRPr="00422D03" w:rsidRDefault="00422D03" w:rsidP="00CA7CDE">
            <w:pPr>
              <w:numPr>
                <w:ilvl w:val="0"/>
                <w:numId w:val="13"/>
              </w:numPr>
            </w:pPr>
            <w:r w:rsidRPr="00422D03">
              <w:t xml:space="preserve">Enter </w:t>
            </w:r>
            <w:r w:rsidR="00EF72E3">
              <w:t>required information at</w:t>
            </w:r>
            <w:r w:rsidRPr="00422D03">
              <w:t xml:space="preserve"> Sample ID prompt.</w:t>
            </w:r>
          </w:p>
          <w:p w:rsidR="00422D03" w:rsidRPr="00422D03" w:rsidRDefault="00422D03" w:rsidP="00CA7CDE">
            <w:pPr>
              <w:numPr>
                <w:ilvl w:val="0"/>
                <w:numId w:val="13"/>
              </w:numPr>
            </w:pPr>
            <w:r w:rsidRPr="00422D03">
              <w:t>Enter the dilution factor if one is used. (NB: # 1 means t</w:t>
            </w:r>
            <w:r w:rsidR="00EF72E3">
              <w:t>hat there is no dilution) .The result the PTS reports takes into account the dilution factor.</w:t>
            </w:r>
          </w:p>
          <w:p w:rsidR="00422D03" w:rsidRPr="00422D03" w:rsidRDefault="00422D03" w:rsidP="00CA7CDE">
            <w:pPr>
              <w:numPr>
                <w:ilvl w:val="0"/>
                <w:numId w:val="13"/>
              </w:numPr>
            </w:pPr>
            <w:r w:rsidRPr="00422D03">
              <w:t>The meter then displays ADD SAMPLE, PRESS ENTER.</w:t>
            </w:r>
          </w:p>
          <w:p w:rsidR="00422D03" w:rsidRPr="00422D03" w:rsidRDefault="00422D03" w:rsidP="00CA7CDE">
            <w:pPr>
              <w:numPr>
                <w:ilvl w:val="0"/>
                <w:numId w:val="13"/>
              </w:numPr>
            </w:pPr>
            <w:r w:rsidRPr="00422D03">
              <w:t>Pipette 25µL of sample in t</w:t>
            </w:r>
            <w:r w:rsidR="00EF72E3">
              <w:t>o each of the four wells. (NB: D</w:t>
            </w:r>
            <w:r w:rsidRPr="00422D03">
              <w:t>o not touch the pipe</w:t>
            </w:r>
            <w:r w:rsidR="00EF72E3">
              <w:t xml:space="preserve">tte tip onto any surface other than the sample and cartridge well. The </w:t>
            </w:r>
            <w:r w:rsidR="00130D4F">
              <w:t>prevalence</w:t>
            </w:r>
            <w:r w:rsidR="00EF72E3">
              <w:t xml:space="preserve"> of Endotoxins means that contaminat</w:t>
            </w:r>
            <w:r w:rsidR="00130D4F">
              <w:t>ion will likely occur).</w:t>
            </w:r>
          </w:p>
          <w:p w:rsidR="00422D03" w:rsidRPr="00422D03" w:rsidRDefault="00422D03" w:rsidP="00CA7CDE">
            <w:pPr>
              <w:numPr>
                <w:ilvl w:val="0"/>
                <w:numId w:val="13"/>
              </w:numPr>
            </w:pPr>
            <w:r w:rsidRPr="00422D03">
              <w:t>Press Enter.</w:t>
            </w:r>
          </w:p>
          <w:p w:rsidR="00422D03" w:rsidRPr="00422D03" w:rsidRDefault="00422D03" w:rsidP="00CA7CDE">
            <w:pPr>
              <w:numPr>
                <w:ilvl w:val="0"/>
                <w:numId w:val="13"/>
              </w:numPr>
            </w:pPr>
            <w:r w:rsidRPr="00422D03">
              <w:t>At the end of the assay the meter will alternate displaying the results and the prompt to remove the cartridge.</w:t>
            </w:r>
          </w:p>
          <w:p w:rsidR="00422D03" w:rsidRPr="00422D03" w:rsidRDefault="00130D4F" w:rsidP="00CA7CDE">
            <w:pPr>
              <w:numPr>
                <w:ilvl w:val="0"/>
                <w:numId w:val="13"/>
              </w:numPr>
            </w:pPr>
            <w:r>
              <w:t>If required, c</w:t>
            </w:r>
            <w:r w:rsidR="00422D03" w:rsidRPr="00422D03">
              <w:t xml:space="preserve">opy the result from the display on to the </w:t>
            </w:r>
            <w:r>
              <w:t>report.</w:t>
            </w:r>
          </w:p>
          <w:p w:rsidR="00422D03" w:rsidRPr="00422D03" w:rsidRDefault="00422D03" w:rsidP="00CA7CDE">
            <w:pPr>
              <w:numPr>
                <w:ilvl w:val="0"/>
                <w:numId w:val="13"/>
              </w:numPr>
            </w:pPr>
            <w:r w:rsidRPr="00422D03">
              <w:t>Power off the meter by pressing Menu then System Off.</w:t>
            </w:r>
          </w:p>
          <w:p w:rsidR="00422D03" w:rsidRPr="00422D03" w:rsidRDefault="00422D03" w:rsidP="00422D03"/>
          <w:p w:rsidR="00422D03" w:rsidRPr="00130D4F" w:rsidRDefault="00422D03" w:rsidP="00130D4F">
            <w:pPr>
              <w:jc w:val="center"/>
              <w:rPr>
                <w:b/>
                <w:u w:val="single"/>
              </w:rPr>
            </w:pPr>
            <w:r w:rsidRPr="00130D4F">
              <w:rPr>
                <w:b/>
                <w:u w:val="single"/>
              </w:rPr>
              <w:lastRenderedPageBreak/>
              <w:t>Exporting data</w:t>
            </w:r>
          </w:p>
          <w:p w:rsidR="00130D4F" w:rsidRDefault="00130D4F" w:rsidP="00422D03"/>
          <w:p w:rsidR="00422D03" w:rsidRPr="00422D03" w:rsidRDefault="00422D03" w:rsidP="00130D4F">
            <w:pPr>
              <w:numPr>
                <w:ilvl w:val="0"/>
                <w:numId w:val="14"/>
              </w:numPr>
            </w:pPr>
            <w:r w:rsidRPr="00422D03">
              <w:t xml:space="preserve">Ensure that the PTS Logger software is loaded on to the desktop of the PC. </w:t>
            </w:r>
          </w:p>
          <w:p w:rsidR="00422D03" w:rsidRPr="00422D03" w:rsidRDefault="00422D03" w:rsidP="00130D4F">
            <w:pPr>
              <w:numPr>
                <w:ilvl w:val="0"/>
                <w:numId w:val="14"/>
              </w:numPr>
            </w:pPr>
            <w:r w:rsidRPr="00422D03">
              <w:t>Connect the cable from the PC serial port to the Endosafe analyser.</w:t>
            </w:r>
          </w:p>
          <w:p w:rsidR="00422D03" w:rsidRPr="00422D03" w:rsidRDefault="00422D03" w:rsidP="00422D03"/>
          <w:p w:rsidR="00422D03" w:rsidRPr="00422D03" w:rsidRDefault="006C3582" w:rsidP="00422D03">
            <w:r>
              <w:t>1) Open</w:t>
            </w:r>
            <w:r w:rsidR="00422D03" w:rsidRPr="00422D03">
              <w:t xml:space="preserve"> the software on the computer:-</w:t>
            </w:r>
          </w:p>
          <w:p w:rsidR="00422D03" w:rsidRPr="00422D03" w:rsidRDefault="00422D03" w:rsidP="006C3582">
            <w:pPr>
              <w:numPr>
                <w:ilvl w:val="0"/>
                <w:numId w:val="15"/>
              </w:numPr>
            </w:pPr>
            <w:r w:rsidRPr="00422D03">
              <w:t>Select Connect on the PTS logger software and then enter Port Number 1 at the prompt.</w:t>
            </w:r>
          </w:p>
          <w:p w:rsidR="00422D03" w:rsidRPr="00422D03" w:rsidRDefault="00422D03" w:rsidP="006C3582">
            <w:pPr>
              <w:numPr>
                <w:ilvl w:val="0"/>
                <w:numId w:val="15"/>
              </w:numPr>
            </w:pPr>
            <w:r w:rsidRPr="00422D03">
              <w:t>Click on Connect.</w:t>
            </w:r>
          </w:p>
          <w:p w:rsidR="00422D03" w:rsidRPr="00422D03" w:rsidRDefault="00422D03" w:rsidP="006C3582">
            <w:pPr>
              <w:numPr>
                <w:ilvl w:val="0"/>
                <w:numId w:val="15"/>
              </w:numPr>
            </w:pPr>
            <w:r w:rsidRPr="00422D03">
              <w:t>Select Log then Open/Close to open the log.</w:t>
            </w:r>
          </w:p>
          <w:p w:rsidR="00422D03" w:rsidRPr="00422D03" w:rsidRDefault="00422D03" w:rsidP="00422D03"/>
          <w:p w:rsidR="00422D03" w:rsidRPr="00422D03" w:rsidRDefault="00422D03" w:rsidP="00422D03">
            <w:r w:rsidRPr="00422D03">
              <w:t>2) On the Endosafe PTS analyser:-</w:t>
            </w:r>
          </w:p>
          <w:p w:rsidR="00422D03" w:rsidRPr="00422D03" w:rsidRDefault="00422D03" w:rsidP="00311792">
            <w:pPr>
              <w:numPr>
                <w:ilvl w:val="0"/>
                <w:numId w:val="16"/>
              </w:numPr>
            </w:pPr>
            <w:r w:rsidRPr="00422D03">
              <w:t>Press the Menu key until you reach 4 Print Menu.</w:t>
            </w:r>
            <w:r w:rsidR="006C3582">
              <w:t xml:space="preserve"> (Shortcut = Menu/4)</w:t>
            </w:r>
          </w:p>
          <w:p w:rsidR="00422D03" w:rsidRPr="00422D03" w:rsidRDefault="00422D03" w:rsidP="00311792">
            <w:pPr>
              <w:numPr>
                <w:ilvl w:val="0"/>
                <w:numId w:val="16"/>
              </w:numPr>
            </w:pPr>
            <w:r w:rsidRPr="00422D03">
              <w:t>Select from the options 1. Print Last Test. 2 Print by date, 3. Print all Tests. This will automatic</w:t>
            </w:r>
            <w:r w:rsidR="00311792">
              <w:t>ally download the results to desktop in the form of a notepad file (.log)</w:t>
            </w:r>
            <w:r w:rsidRPr="00422D03">
              <w:t>.</w:t>
            </w:r>
          </w:p>
          <w:p w:rsidR="00422D03" w:rsidRPr="00422D03" w:rsidRDefault="00422D03" w:rsidP="00422D03"/>
          <w:p w:rsidR="00422D03" w:rsidRPr="00422D03" w:rsidRDefault="00422D03" w:rsidP="00422D03">
            <w:r w:rsidRPr="00422D03">
              <w:t>3) In the software on the computer</w:t>
            </w:r>
          </w:p>
          <w:p w:rsidR="00422D03" w:rsidRPr="00422D03" w:rsidRDefault="00422D03" w:rsidP="00EF281A">
            <w:pPr>
              <w:numPr>
                <w:ilvl w:val="0"/>
                <w:numId w:val="17"/>
              </w:numPr>
            </w:pPr>
            <w:r w:rsidRPr="00422D03">
              <w:t>Select Log then View and the results will be displayed in notepad format.</w:t>
            </w:r>
          </w:p>
          <w:p w:rsidR="00422D03" w:rsidRPr="00422D03" w:rsidRDefault="00EF281A" w:rsidP="00EF281A">
            <w:pPr>
              <w:numPr>
                <w:ilvl w:val="0"/>
                <w:numId w:val="17"/>
              </w:numPr>
            </w:pPr>
            <w:r>
              <w:t>Select Log Open/Close to close.</w:t>
            </w:r>
          </w:p>
          <w:p w:rsidR="00422D03" w:rsidRPr="00422D03" w:rsidRDefault="00EF281A" w:rsidP="00EF281A">
            <w:pPr>
              <w:numPr>
                <w:ilvl w:val="0"/>
                <w:numId w:val="17"/>
              </w:numPr>
            </w:pPr>
            <w:r>
              <w:t>Open notepad file to obtain result and check validity of test.</w:t>
            </w:r>
            <w:r w:rsidR="008F153C">
              <w:t xml:space="preserve"> See page 2 of Endosafe PTS assay guide for results interpretation. </w:t>
            </w:r>
          </w:p>
          <w:p w:rsidR="00422D03" w:rsidRPr="00422D03" w:rsidRDefault="00422D03" w:rsidP="00422D03"/>
          <w:p w:rsidR="00422D03" w:rsidRPr="00EF281A" w:rsidRDefault="00422D03" w:rsidP="00EF281A">
            <w:pPr>
              <w:jc w:val="center"/>
              <w:rPr>
                <w:b/>
                <w:u w:val="single"/>
              </w:rPr>
            </w:pPr>
            <w:r w:rsidRPr="00EF281A">
              <w:rPr>
                <w:b/>
                <w:u w:val="single"/>
              </w:rPr>
              <w:t>Storage of Reagents</w:t>
            </w:r>
          </w:p>
          <w:p w:rsidR="00EF281A" w:rsidRDefault="00EF281A" w:rsidP="00422D03"/>
          <w:p w:rsidR="00422D03" w:rsidRPr="00422D03" w:rsidRDefault="00422D03" w:rsidP="00EF281A">
            <w:pPr>
              <w:numPr>
                <w:ilvl w:val="0"/>
                <w:numId w:val="18"/>
              </w:numPr>
            </w:pPr>
            <w:r w:rsidRPr="00422D03">
              <w:t>Do not use past the expiry date.</w:t>
            </w:r>
          </w:p>
          <w:p w:rsidR="00422D03" w:rsidRPr="00422D03" w:rsidRDefault="00422D03" w:rsidP="00EF281A">
            <w:pPr>
              <w:numPr>
                <w:ilvl w:val="0"/>
                <w:numId w:val="18"/>
              </w:numPr>
            </w:pPr>
            <w:r w:rsidRPr="00422D03">
              <w:t>Cartridges must be stored at room temperature i.e. between 2-25 °C.</w:t>
            </w:r>
          </w:p>
          <w:p w:rsidR="00422D03" w:rsidRPr="00422D03" w:rsidRDefault="00422D03" w:rsidP="00EF281A">
            <w:pPr>
              <w:numPr>
                <w:ilvl w:val="0"/>
                <w:numId w:val="18"/>
              </w:numPr>
            </w:pPr>
            <w:r w:rsidRPr="00422D03">
              <w:t xml:space="preserve">Cartridges must be bought to room temperature for at least 15 minutes prior to use. </w:t>
            </w:r>
          </w:p>
          <w:p w:rsidR="00422D03" w:rsidRPr="00422D03" w:rsidRDefault="00422D03" w:rsidP="00EF281A">
            <w:pPr>
              <w:numPr>
                <w:ilvl w:val="0"/>
                <w:numId w:val="18"/>
              </w:numPr>
            </w:pPr>
            <w:r w:rsidRPr="00422D03">
              <w:t>Use the cartridge within 2 hours of opening the foil pack.</w:t>
            </w:r>
          </w:p>
          <w:p w:rsidR="00EF281A" w:rsidRDefault="00EF281A" w:rsidP="00422D03"/>
          <w:p w:rsidR="00422D03" w:rsidRPr="00EF281A" w:rsidRDefault="00EF281A" w:rsidP="00EF281A">
            <w:pPr>
              <w:jc w:val="center"/>
              <w:rPr>
                <w:b/>
                <w:u w:val="single"/>
              </w:rPr>
            </w:pPr>
            <w:r w:rsidRPr="00EF281A">
              <w:rPr>
                <w:b/>
                <w:u w:val="single"/>
              </w:rPr>
              <w:t>Procedural Care</w:t>
            </w:r>
          </w:p>
          <w:p w:rsidR="00EF281A" w:rsidRDefault="00EF281A" w:rsidP="00422D03"/>
          <w:p w:rsidR="00422D03" w:rsidRPr="00422D03" w:rsidRDefault="00422D03" w:rsidP="00EF281A">
            <w:pPr>
              <w:numPr>
                <w:ilvl w:val="0"/>
                <w:numId w:val="19"/>
              </w:numPr>
            </w:pPr>
            <w:r w:rsidRPr="00422D03">
              <w:t xml:space="preserve">Touching the sample reservoirs can contaminate the </w:t>
            </w:r>
            <w:r w:rsidR="00EF281A">
              <w:t>assay</w:t>
            </w:r>
            <w:r w:rsidRPr="00422D03">
              <w:t>.</w:t>
            </w:r>
          </w:p>
          <w:p w:rsidR="00422D03" w:rsidRPr="00422D03" w:rsidRDefault="00422D03" w:rsidP="00EF281A">
            <w:pPr>
              <w:numPr>
                <w:ilvl w:val="0"/>
                <w:numId w:val="19"/>
              </w:numPr>
            </w:pPr>
            <w:r w:rsidRPr="00422D03">
              <w:t>Touching the optical cells leaving fingerprints or smudges can cause problems with the transmittance of light through the optical cells.</w:t>
            </w:r>
          </w:p>
          <w:p w:rsidR="00422D03" w:rsidRPr="00422D03" w:rsidRDefault="00422D03" w:rsidP="00EF281A">
            <w:pPr>
              <w:numPr>
                <w:ilvl w:val="0"/>
                <w:numId w:val="19"/>
              </w:numPr>
            </w:pPr>
            <w:r w:rsidRPr="00422D03">
              <w:t>Use only endotoxin free and non-interfering accessories e.g. water, dilution tubes, pipettes and tips.</w:t>
            </w:r>
          </w:p>
          <w:p w:rsidR="00422D03" w:rsidRPr="00422D03" w:rsidRDefault="00422D03" w:rsidP="00EF281A">
            <w:pPr>
              <w:numPr>
                <w:ilvl w:val="0"/>
                <w:numId w:val="19"/>
              </w:numPr>
            </w:pPr>
            <w:r w:rsidRPr="00422D03">
              <w:t>An incorrect dilution factor will mean the analyser will give the wrong results.</w:t>
            </w:r>
          </w:p>
          <w:p w:rsidR="00422D03" w:rsidRPr="00422D03" w:rsidRDefault="00422D03" w:rsidP="00EF281A">
            <w:pPr>
              <w:numPr>
                <w:ilvl w:val="0"/>
                <w:numId w:val="19"/>
              </w:numPr>
            </w:pPr>
            <w:r w:rsidRPr="00422D03">
              <w:t>Splashing the sample out of the wells (due to poor pipetting techniques) will give inaccurate volumes and incorrect results particularly in the spiked channels.</w:t>
            </w:r>
            <w:r w:rsidR="00EF281A">
              <w:t xml:space="preserve"> </w:t>
            </w:r>
          </w:p>
          <w:p w:rsidR="00422D03" w:rsidRPr="00422D03" w:rsidRDefault="00422D03" w:rsidP="00EF281A">
            <w:pPr>
              <w:numPr>
                <w:ilvl w:val="0"/>
                <w:numId w:val="20"/>
              </w:numPr>
            </w:pPr>
            <w:r w:rsidRPr="00422D03">
              <w:lastRenderedPageBreak/>
              <w:t>Bubbles cause false onset times because of the disturbance in light transmittance.</w:t>
            </w:r>
          </w:p>
          <w:p w:rsidR="00422D03" w:rsidRDefault="00422D03" w:rsidP="00EF281A">
            <w:pPr>
              <w:numPr>
                <w:ilvl w:val="0"/>
                <w:numId w:val="20"/>
              </w:numPr>
            </w:pPr>
            <w:r w:rsidRPr="00422D03">
              <w:t>Bubbles can interfere with the mixing of the sample with the reagents so that it is not homogeneous.</w:t>
            </w:r>
          </w:p>
          <w:p w:rsidR="002D7B85" w:rsidRPr="00422D03" w:rsidRDefault="002D7B85" w:rsidP="00EF281A">
            <w:pPr>
              <w:numPr>
                <w:ilvl w:val="0"/>
                <w:numId w:val="20"/>
              </w:numPr>
            </w:pPr>
            <w:r>
              <w:t>In the event of bubbles or splashing out, pipette the sample out of the well and repeat using a new pipette tip.</w:t>
            </w:r>
          </w:p>
          <w:p w:rsidR="00422D03" w:rsidRDefault="00422D03" w:rsidP="00EF281A">
            <w:pPr>
              <w:jc w:val="center"/>
              <w:rPr>
                <w:b/>
                <w:u w:val="single"/>
              </w:rPr>
            </w:pPr>
            <w:r w:rsidRPr="00EF281A">
              <w:rPr>
                <w:b/>
                <w:u w:val="single"/>
              </w:rPr>
              <w:t>Maintenance</w:t>
            </w:r>
          </w:p>
          <w:p w:rsidR="00EF281A" w:rsidRPr="00EF281A" w:rsidRDefault="00EF281A" w:rsidP="00EF281A">
            <w:pPr>
              <w:jc w:val="center"/>
              <w:rPr>
                <w:b/>
                <w:u w:val="single"/>
              </w:rPr>
            </w:pPr>
          </w:p>
          <w:p w:rsidR="00422D03" w:rsidRPr="00422D03" w:rsidRDefault="00422D03" w:rsidP="00EF281A">
            <w:pPr>
              <w:numPr>
                <w:ilvl w:val="0"/>
                <w:numId w:val="20"/>
              </w:numPr>
            </w:pPr>
            <w:r w:rsidRPr="00422D03">
              <w:t>The</w:t>
            </w:r>
            <w:r w:rsidR="00E42634">
              <w:t xml:space="preserve"> meter must be returned to the local </w:t>
            </w:r>
            <w:r w:rsidR="001B4D1C">
              <w:t>distributor</w:t>
            </w:r>
            <w:r w:rsidR="00E42634">
              <w:t xml:space="preserve"> (SC Bio Limited)</w:t>
            </w:r>
            <w:r w:rsidRPr="00422D03">
              <w:t xml:space="preserve"> for calibration and maintenance annually.</w:t>
            </w:r>
          </w:p>
          <w:p w:rsidR="00EF281A" w:rsidRDefault="00EF281A" w:rsidP="00EF281A">
            <w:pPr>
              <w:ind w:left="720"/>
            </w:pPr>
          </w:p>
          <w:p w:rsidR="00EF281A" w:rsidRPr="00EF281A" w:rsidRDefault="00EF281A" w:rsidP="00EF281A">
            <w:pPr>
              <w:jc w:val="center"/>
              <w:rPr>
                <w:b/>
                <w:u w:val="single"/>
              </w:rPr>
            </w:pPr>
            <w:r w:rsidRPr="00EF281A">
              <w:rPr>
                <w:b/>
                <w:u w:val="single"/>
              </w:rPr>
              <w:t>Principle of the Procedure</w:t>
            </w:r>
          </w:p>
          <w:p w:rsidR="00EF281A" w:rsidRPr="00422D03" w:rsidRDefault="00EF281A" w:rsidP="00EF281A"/>
          <w:p w:rsidR="002E35D7" w:rsidRDefault="00EF281A" w:rsidP="002D7B85">
            <w:r w:rsidRPr="00422D03">
              <w:t xml:space="preserve">The reader draws and mixes the sample with the LAL reagent in two channels (sample channels) and with the LAL reagent and Positive Product Control (PPC) in the other two channels (the spike channels). The sample is incubated and </w:t>
            </w:r>
            <w:r w:rsidR="002D7B85">
              <w:t xml:space="preserve">mixed with Lysate and a </w:t>
            </w:r>
            <w:r w:rsidRPr="00422D03">
              <w:t xml:space="preserve">chromogenic substrate. After mixing, the optical density of the wells is measured and analysed against an internally-archived, batch specific standard curve. The PTS simultaneously performs testing in duplicate and averages the results in keeping with </w:t>
            </w:r>
            <w:r w:rsidR="002D7B85">
              <w:t>U</w:t>
            </w:r>
            <w:r w:rsidRPr="00422D03">
              <w:t>SP</w:t>
            </w:r>
            <w:r w:rsidR="002D7B85">
              <w:t>/EU</w:t>
            </w:r>
            <w:r w:rsidRPr="00422D03">
              <w:t xml:space="preserve"> guidelines.</w:t>
            </w:r>
          </w:p>
          <w:p w:rsidR="00960343" w:rsidRDefault="00960343" w:rsidP="002D7B85"/>
          <w:p w:rsidR="00960343" w:rsidRDefault="009D5B96" w:rsidP="00960343">
            <w:pPr>
              <w:jc w:val="center"/>
              <w:rPr>
                <w:b/>
                <w:u w:val="single"/>
              </w:rPr>
            </w:pPr>
            <w:r>
              <w:rPr>
                <w:b/>
                <w:u w:val="single"/>
              </w:rPr>
              <w:t>Required Reading</w:t>
            </w:r>
            <w:r w:rsidR="00960343" w:rsidRPr="00960343">
              <w:rPr>
                <w:b/>
                <w:u w:val="single"/>
              </w:rPr>
              <w:t>:</w:t>
            </w:r>
          </w:p>
          <w:p w:rsidR="00960343" w:rsidRPr="00960343" w:rsidRDefault="00960343" w:rsidP="00960343">
            <w:pPr>
              <w:jc w:val="center"/>
              <w:rPr>
                <w:b/>
                <w:u w:val="single"/>
              </w:rPr>
            </w:pPr>
          </w:p>
          <w:p w:rsidR="00960343" w:rsidRPr="00960343" w:rsidRDefault="00960343" w:rsidP="00960343">
            <w:pPr>
              <w:numPr>
                <w:ilvl w:val="0"/>
                <w:numId w:val="22"/>
              </w:numPr>
              <w:rPr>
                <w:szCs w:val="22"/>
              </w:rPr>
            </w:pPr>
            <w:r w:rsidRPr="00960343">
              <w:rPr>
                <w:szCs w:val="22"/>
              </w:rPr>
              <w:t>Charles River Laboratories Endosafe PTS Users Guide Version 7.</w:t>
            </w:r>
          </w:p>
          <w:p w:rsidR="00960343" w:rsidRPr="00960343" w:rsidRDefault="00960343" w:rsidP="00960343">
            <w:pPr>
              <w:numPr>
                <w:ilvl w:val="0"/>
                <w:numId w:val="22"/>
              </w:numPr>
              <w:rPr>
                <w:szCs w:val="22"/>
              </w:rPr>
            </w:pPr>
            <w:r w:rsidRPr="00960343">
              <w:rPr>
                <w:szCs w:val="22"/>
              </w:rPr>
              <w:t>PTS Loger Instructions.</w:t>
            </w:r>
          </w:p>
          <w:p w:rsidR="00960343" w:rsidRDefault="00960343" w:rsidP="00960343">
            <w:pPr>
              <w:numPr>
                <w:ilvl w:val="0"/>
                <w:numId w:val="22"/>
              </w:numPr>
              <w:rPr>
                <w:szCs w:val="22"/>
              </w:rPr>
            </w:pPr>
            <w:r w:rsidRPr="00960343">
              <w:rPr>
                <w:szCs w:val="22"/>
              </w:rPr>
              <w:t xml:space="preserve">Endosafe </w:t>
            </w:r>
            <w:r w:rsidR="008F153C">
              <w:rPr>
                <w:szCs w:val="22"/>
              </w:rPr>
              <w:t xml:space="preserve">PTS </w:t>
            </w:r>
            <w:r w:rsidRPr="00960343">
              <w:rPr>
                <w:szCs w:val="22"/>
              </w:rPr>
              <w:t>Assay Guide.</w:t>
            </w:r>
          </w:p>
          <w:p w:rsidR="009D5B96" w:rsidRDefault="009D5B96" w:rsidP="00960343">
            <w:pPr>
              <w:numPr>
                <w:ilvl w:val="0"/>
                <w:numId w:val="22"/>
              </w:numPr>
              <w:rPr>
                <w:szCs w:val="22"/>
              </w:rPr>
            </w:pPr>
            <w:r>
              <w:rPr>
                <w:szCs w:val="22"/>
              </w:rPr>
              <w:t>Endosafe Quick Start Quide.</w:t>
            </w:r>
          </w:p>
          <w:p w:rsidR="009D5B96" w:rsidRDefault="009D5B96" w:rsidP="00960343">
            <w:pPr>
              <w:numPr>
                <w:ilvl w:val="0"/>
                <w:numId w:val="22"/>
              </w:numPr>
              <w:rPr>
                <w:szCs w:val="22"/>
              </w:rPr>
            </w:pPr>
            <w:r>
              <w:rPr>
                <w:szCs w:val="22"/>
              </w:rPr>
              <w:t>Cartridge Package Insert.</w:t>
            </w:r>
          </w:p>
          <w:p w:rsidR="009D5B96" w:rsidRDefault="009D5B96" w:rsidP="00960343">
            <w:pPr>
              <w:numPr>
                <w:ilvl w:val="0"/>
                <w:numId w:val="22"/>
              </w:numPr>
              <w:rPr>
                <w:szCs w:val="22"/>
              </w:rPr>
            </w:pPr>
            <w:r>
              <w:rPr>
                <w:szCs w:val="22"/>
              </w:rPr>
              <w:t>Endosafe PTS Power Point.</w:t>
            </w:r>
          </w:p>
          <w:p w:rsidR="009D5B96" w:rsidRPr="00960343" w:rsidRDefault="009D5B96" w:rsidP="00960343">
            <w:pPr>
              <w:numPr>
                <w:ilvl w:val="0"/>
                <w:numId w:val="22"/>
              </w:numPr>
              <w:rPr>
                <w:szCs w:val="22"/>
              </w:rPr>
            </w:pPr>
            <w:r>
              <w:rPr>
                <w:szCs w:val="22"/>
              </w:rPr>
              <w:t>Endosafe Video.</w:t>
            </w:r>
          </w:p>
          <w:p w:rsidR="00960343" w:rsidRPr="002D7B85" w:rsidRDefault="00960343" w:rsidP="002D7B85"/>
        </w:tc>
      </w:tr>
    </w:tbl>
    <w:p w:rsidR="00E11800" w:rsidRDefault="00E11800" w:rsidP="00422D03"/>
    <w:p w:rsidR="000526D6" w:rsidRDefault="000526D6" w:rsidP="002D7B85">
      <w:pPr>
        <w:tabs>
          <w:tab w:val="left" w:pos="1680"/>
        </w:tabs>
      </w:pPr>
    </w:p>
    <w:p w:rsidR="00E11800" w:rsidRDefault="00E11800" w:rsidP="00E11800">
      <w:pPr>
        <w:rPr>
          <w:b/>
        </w:rPr>
      </w:pPr>
      <w:r>
        <w:rPr>
          <w:b/>
        </w:rPr>
        <w:t xml:space="preserve">Locations of Hard Copies: </w:t>
      </w:r>
    </w:p>
    <w:p w:rsidR="00E11800" w:rsidRDefault="00E11800" w:rsidP="00E11800">
      <w:pPr>
        <w:rPr>
          <w:sz w:val="20"/>
        </w:rPr>
      </w:pPr>
      <w:r>
        <w:rPr>
          <w:sz w:val="20"/>
        </w:rPr>
        <w:t>Standard Operating Procedures Manual</w:t>
      </w:r>
    </w:p>
    <w:p w:rsidR="00E11800" w:rsidRDefault="00E11800" w:rsidP="00E11800">
      <w:pPr>
        <w:rPr>
          <w:sz w:val="20"/>
        </w:rPr>
      </w:pPr>
    </w:p>
    <w:p w:rsidR="00E11800" w:rsidRDefault="00E11800" w:rsidP="00E11800">
      <w:pPr>
        <w:rPr>
          <w:b/>
        </w:rPr>
      </w:pPr>
      <w:r>
        <w:rPr>
          <w:b/>
        </w:rPr>
        <w:t>References:</w:t>
      </w:r>
    </w:p>
    <w:p w:rsidR="00182F5E" w:rsidRDefault="00E11800" w:rsidP="00E11800">
      <w:pPr>
        <w:rPr>
          <w:sz w:val="20"/>
        </w:rPr>
      </w:pPr>
      <w:r>
        <w:rPr>
          <w:sz w:val="20"/>
        </w:rPr>
        <w:t>Cha</w:t>
      </w:r>
      <w:r w:rsidR="002D7B85">
        <w:rPr>
          <w:sz w:val="20"/>
        </w:rPr>
        <w:t>rles River Laboratories Endosafe PTS Users Guide Version 7.</w:t>
      </w:r>
    </w:p>
    <w:p w:rsidR="00D603AB" w:rsidRDefault="00D603AB" w:rsidP="00E11800">
      <w:pPr>
        <w:rPr>
          <w:sz w:val="20"/>
        </w:rPr>
      </w:pPr>
      <w:r>
        <w:rPr>
          <w:sz w:val="20"/>
        </w:rPr>
        <w:t>PTS Loger Instructions</w:t>
      </w:r>
      <w:r w:rsidR="000526D6">
        <w:rPr>
          <w:sz w:val="20"/>
        </w:rPr>
        <w:t>.</w:t>
      </w:r>
    </w:p>
    <w:p w:rsidR="000526D6" w:rsidRPr="002D7B85" w:rsidRDefault="000526D6" w:rsidP="00E11800">
      <w:pPr>
        <w:rPr>
          <w:sz w:val="20"/>
        </w:rPr>
      </w:pPr>
      <w:r>
        <w:rPr>
          <w:sz w:val="20"/>
        </w:rPr>
        <w:t>Endosafe Assay Guide.</w:t>
      </w:r>
    </w:p>
    <w:p w:rsidR="00D603AB" w:rsidRDefault="00D603AB"/>
    <w:sectPr w:rsidR="00D603AB" w:rsidSect="00886E93">
      <w:headerReference w:type="default" r:id="rId11"/>
      <w:type w:val="continuous"/>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70" w:rsidRDefault="00865B70">
      <w:r>
        <w:separator/>
      </w:r>
    </w:p>
  </w:endnote>
  <w:endnote w:type="continuationSeparator" w:id="0">
    <w:p w:rsidR="00865B70" w:rsidRDefault="0086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069"/>
      <w:gridCol w:w="5069"/>
    </w:tblGrid>
    <w:tr w:rsidR="002E35D7" w:rsidRPr="00182F5E" w:rsidTr="00685C9C">
      <w:tc>
        <w:tcPr>
          <w:tcW w:w="10138" w:type="dxa"/>
          <w:gridSpan w:val="2"/>
          <w:shd w:val="clear" w:color="auto" w:fill="auto"/>
        </w:tcPr>
        <w:p w:rsidR="002E35D7" w:rsidRPr="00182F5E" w:rsidRDefault="002E35D7" w:rsidP="00685C9C">
          <w:pPr>
            <w:jc w:val="center"/>
            <w:rPr>
              <w:szCs w:val="22"/>
            </w:rPr>
          </w:pPr>
          <w:r>
            <w:rPr>
              <w:szCs w:val="22"/>
            </w:rPr>
            <w:t>Employee Training Record</w:t>
          </w:r>
          <w:r w:rsidR="0044575C">
            <w:rPr>
              <w:szCs w:val="22"/>
            </w:rPr>
            <w:t>. Employee sign to indicate you have received training in this SOP.</w:t>
          </w:r>
        </w:p>
      </w:tc>
    </w:tr>
    <w:tr w:rsidR="002E35D7" w:rsidRPr="00182F5E" w:rsidTr="00685C9C">
      <w:tc>
        <w:tcPr>
          <w:tcW w:w="5069" w:type="dxa"/>
          <w:shd w:val="clear" w:color="auto" w:fill="auto"/>
        </w:tcPr>
        <w:p w:rsidR="002E35D7" w:rsidRPr="00182F5E" w:rsidRDefault="002E35D7" w:rsidP="00685C9C">
          <w:pPr>
            <w:spacing w:before="240" w:line="480" w:lineRule="auto"/>
            <w:rPr>
              <w:szCs w:val="22"/>
            </w:rPr>
          </w:pPr>
          <w:r w:rsidRPr="00182F5E">
            <w:rPr>
              <w:szCs w:val="22"/>
            </w:rPr>
            <w:t>Supervisor:   ____________________________</w:t>
          </w:r>
        </w:p>
        <w:p w:rsidR="002E35D7" w:rsidRPr="00182F5E" w:rsidRDefault="002E35D7" w:rsidP="00685C9C">
          <w:pPr>
            <w:spacing w:before="240" w:line="480" w:lineRule="auto"/>
            <w:rPr>
              <w:szCs w:val="22"/>
            </w:rPr>
          </w:pPr>
          <w:r w:rsidRPr="00182F5E">
            <w:rPr>
              <w:szCs w:val="22"/>
            </w:rPr>
            <w:t>Signature:     ____________________________</w:t>
          </w:r>
        </w:p>
        <w:p w:rsidR="002E35D7" w:rsidRPr="00182F5E" w:rsidRDefault="002E35D7" w:rsidP="00685C9C">
          <w:pPr>
            <w:spacing w:before="240" w:line="480" w:lineRule="auto"/>
            <w:rPr>
              <w:szCs w:val="22"/>
            </w:rPr>
          </w:pPr>
          <w:r w:rsidRPr="00182F5E">
            <w:rPr>
              <w:szCs w:val="22"/>
            </w:rPr>
            <w:t>Date:             ____________________________</w:t>
          </w:r>
        </w:p>
      </w:tc>
      <w:tc>
        <w:tcPr>
          <w:tcW w:w="5069" w:type="dxa"/>
          <w:shd w:val="clear" w:color="auto" w:fill="auto"/>
        </w:tcPr>
        <w:p w:rsidR="002E35D7" w:rsidRPr="00182F5E" w:rsidRDefault="002E35D7" w:rsidP="00685C9C">
          <w:pPr>
            <w:spacing w:before="240" w:line="480" w:lineRule="auto"/>
            <w:rPr>
              <w:szCs w:val="22"/>
            </w:rPr>
          </w:pPr>
          <w:r w:rsidRPr="00182F5E">
            <w:rPr>
              <w:szCs w:val="22"/>
            </w:rPr>
            <w:t>Employee:    ____________________________</w:t>
          </w:r>
        </w:p>
        <w:p w:rsidR="002E35D7" w:rsidRPr="00182F5E" w:rsidRDefault="002E35D7" w:rsidP="00685C9C">
          <w:pPr>
            <w:spacing w:before="240" w:line="480" w:lineRule="auto"/>
            <w:rPr>
              <w:szCs w:val="22"/>
            </w:rPr>
          </w:pPr>
          <w:r w:rsidRPr="00182F5E">
            <w:rPr>
              <w:szCs w:val="22"/>
            </w:rPr>
            <w:t>Signature:     ____________________________</w:t>
          </w:r>
        </w:p>
        <w:p w:rsidR="002E35D7" w:rsidRPr="00182F5E" w:rsidRDefault="002E35D7" w:rsidP="00685C9C">
          <w:pPr>
            <w:spacing w:before="240" w:line="480" w:lineRule="auto"/>
            <w:rPr>
              <w:szCs w:val="22"/>
            </w:rPr>
          </w:pPr>
          <w:r w:rsidRPr="00182F5E">
            <w:rPr>
              <w:szCs w:val="22"/>
            </w:rPr>
            <w:t>Date:             ____________________________</w:t>
          </w:r>
        </w:p>
      </w:tc>
    </w:tr>
  </w:tbl>
  <w:p w:rsidR="002E35D7" w:rsidRPr="00ED366F" w:rsidRDefault="002E35D7" w:rsidP="002E35D7">
    <w:pPr>
      <w:rPr>
        <w:i/>
        <w:sz w:val="18"/>
        <w:szCs w:val="18"/>
      </w:rPr>
    </w:pPr>
    <w:r w:rsidRPr="00ED366F">
      <w:rPr>
        <w:i/>
        <w:sz w:val="18"/>
        <w:szCs w:val="18"/>
      </w:rPr>
      <w:t xml:space="preserve">Disclaimer: This document has been developed by </w:t>
    </w:r>
    <w:r>
      <w:rPr>
        <w:i/>
        <w:sz w:val="18"/>
        <w:szCs w:val="18"/>
      </w:rPr>
      <w:t>the author specifically for</w:t>
    </w:r>
    <w:r w:rsidRPr="00ED366F">
      <w:rPr>
        <w:i/>
        <w:sz w:val="18"/>
        <w:szCs w:val="18"/>
      </w:rPr>
      <w:t xml:space="preserve"> own use.  Use of this document and any reliance on the information contained therein by any third party is at their own risk and </w:t>
    </w:r>
    <w:r>
      <w:rPr>
        <w:i/>
        <w:sz w:val="18"/>
        <w:szCs w:val="18"/>
      </w:rPr>
      <w:t xml:space="preserve">the author </w:t>
    </w:r>
    <w:r w:rsidRPr="00ED366F">
      <w:rPr>
        <w:i/>
        <w:sz w:val="18"/>
        <w:szCs w:val="18"/>
      </w:rPr>
      <w:t>assumes no responsibility whatsoever</w:t>
    </w:r>
    <w:r>
      <w:rPr>
        <w:i/>
        <w:sz w:val="18"/>
        <w:szCs w:val="18"/>
      </w:rPr>
      <w:t>.</w:t>
    </w:r>
  </w:p>
  <w:p w:rsidR="002E35D7" w:rsidRDefault="002E35D7" w:rsidP="002E35D7">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35790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57909">
      <w:rPr>
        <w:b/>
        <w:bCs/>
        <w:noProof/>
      </w:rPr>
      <w:t>4</w:t>
    </w:r>
    <w:r>
      <w:rPr>
        <w:b/>
        <w:bCs/>
        <w:sz w:val="24"/>
      </w:rPr>
      <w:fldChar w:fldCharType="end"/>
    </w:r>
  </w:p>
  <w:p w:rsidR="006F45C3" w:rsidRDefault="006F4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70" w:rsidRDefault="00865B70">
      <w:r>
        <w:separator/>
      </w:r>
    </w:p>
  </w:footnote>
  <w:footnote w:type="continuationSeparator" w:id="0">
    <w:p w:rsidR="00865B70" w:rsidRDefault="00865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1134"/>
      <w:gridCol w:w="1944"/>
      <w:gridCol w:w="1318"/>
      <w:gridCol w:w="712"/>
      <w:gridCol w:w="1310"/>
    </w:tblGrid>
    <w:tr w:rsidR="002E35D7" w:rsidTr="00685C9C">
      <w:trPr>
        <w:trHeight w:val="689"/>
        <w:jc w:val="center"/>
      </w:trPr>
      <w:tc>
        <w:tcPr>
          <w:tcW w:w="3585" w:type="dxa"/>
          <w:tcBorders>
            <w:top w:val="single" w:sz="4" w:space="0" w:color="auto"/>
            <w:left w:val="single" w:sz="4" w:space="0" w:color="auto"/>
            <w:bottom w:val="single" w:sz="4" w:space="0" w:color="auto"/>
            <w:right w:val="single" w:sz="4" w:space="0" w:color="auto"/>
          </w:tcBorders>
          <w:vAlign w:val="center"/>
        </w:tcPr>
        <w:p w:rsidR="002E35D7" w:rsidRDefault="002E35D7" w:rsidP="00685C9C">
          <w:pPr>
            <w:tabs>
              <w:tab w:val="left" w:pos="266"/>
              <w:tab w:val="center" w:pos="2040"/>
            </w:tabs>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E35D7" w:rsidRDefault="002E35D7" w:rsidP="00685C9C">
          <w:pPr>
            <w:pStyle w:val="BodyText"/>
          </w:pPr>
          <w:r>
            <w:t>Document reference:</w:t>
          </w:r>
        </w:p>
      </w:tc>
      <w:tc>
        <w:tcPr>
          <w:tcW w:w="1944" w:type="dxa"/>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Effective date:</w:t>
          </w:r>
        </w:p>
        <w:p w:rsidR="002E35D7" w:rsidRDefault="002E35D7" w:rsidP="00685C9C">
          <w:pPr>
            <w:pStyle w:val="BodyText2"/>
          </w:pPr>
          <w:r>
            <w:t>20 August 2013</w:t>
          </w:r>
        </w:p>
      </w:tc>
      <w:tc>
        <w:tcPr>
          <w:tcW w:w="2030"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Expiry date:</w:t>
          </w:r>
        </w:p>
        <w:p w:rsidR="002E35D7" w:rsidRDefault="002E35D7" w:rsidP="00685C9C">
          <w:pPr>
            <w:pStyle w:val="BodyText2"/>
          </w:pPr>
          <w:r>
            <w:t>20 August 2020</w:t>
          </w:r>
        </w:p>
      </w:tc>
      <w:tc>
        <w:tcPr>
          <w:tcW w:w="1310" w:type="dxa"/>
          <w:tcBorders>
            <w:top w:val="single" w:sz="4" w:space="0" w:color="auto"/>
            <w:left w:val="single" w:sz="4" w:space="0" w:color="auto"/>
            <w:bottom w:val="single" w:sz="4" w:space="0" w:color="auto"/>
            <w:right w:val="single" w:sz="4" w:space="0" w:color="auto"/>
          </w:tcBorders>
        </w:tcPr>
        <w:p w:rsidR="002E35D7" w:rsidRPr="006F45C3" w:rsidRDefault="002E35D7" w:rsidP="00685C9C">
          <w:pPr>
            <w:pStyle w:val="BodyText2"/>
            <w:rPr>
              <w:b w:val="0"/>
              <w:sz w:val="18"/>
            </w:rPr>
          </w:pPr>
          <w:r w:rsidRPr="006F45C3">
            <w:rPr>
              <w:b w:val="0"/>
              <w:sz w:val="18"/>
            </w:rPr>
            <w:t>Version:</w:t>
          </w:r>
        </w:p>
        <w:p w:rsidR="002E35D7" w:rsidRPr="00BD3F0A" w:rsidRDefault="002E35D7" w:rsidP="00685C9C">
          <w:pPr>
            <w:pStyle w:val="BodyText2"/>
          </w:pPr>
          <w:r>
            <w:t>1</w:t>
          </w:r>
        </w:p>
      </w:tc>
    </w:tr>
    <w:tr w:rsidR="002E35D7" w:rsidTr="00685C9C">
      <w:trPr>
        <w:jc w:val="center"/>
      </w:trPr>
      <w:tc>
        <w:tcPr>
          <w:tcW w:w="4719"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Title: SOP for Endotoxin Testing with the Charles River PTS.</w:t>
          </w:r>
        </w:p>
        <w:p w:rsidR="002E35D7" w:rsidRPr="006F45C3" w:rsidRDefault="002E35D7" w:rsidP="00685C9C">
          <w:pPr>
            <w:pStyle w:val="maintitle"/>
          </w:pPr>
        </w:p>
      </w:tc>
      <w:tc>
        <w:tcPr>
          <w:tcW w:w="1944" w:type="dxa"/>
          <w:tcBorders>
            <w:top w:val="single" w:sz="4" w:space="0" w:color="auto"/>
            <w:left w:val="single" w:sz="4" w:space="0" w:color="auto"/>
            <w:bottom w:val="single" w:sz="4" w:space="0" w:color="auto"/>
            <w:right w:val="single" w:sz="4" w:space="0" w:color="auto"/>
          </w:tcBorders>
        </w:tcPr>
        <w:p w:rsidR="002E35D7" w:rsidRDefault="002E35D7" w:rsidP="00685C9C">
          <w:pPr>
            <w:pStyle w:val="BodyText"/>
          </w:pPr>
          <w:r>
            <w:t>Type:</w:t>
          </w:r>
        </w:p>
        <w:p w:rsidR="002E35D7" w:rsidRPr="007D1AA2" w:rsidRDefault="002E35D7" w:rsidP="00685C9C">
          <w:pPr>
            <w:pStyle w:val="maintitle"/>
            <w:rPr>
              <w:sz w:val="22"/>
              <w:szCs w:val="22"/>
            </w:rPr>
          </w:pPr>
          <w:r>
            <w:rPr>
              <w:sz w:val="22"/>
              <w:szCs w:val="22"/>
            </w:rPr>
            <w:t>Protocol</w:t>
          </w:r>
        </w:p>
      </w:tc>
      <w:tc>
        <w:tcPr>
          <w:tcW w:w="1318" w:type="dxa"/>
          <w:tcBorders>
            <w:top w:val="single" w:sz="4" w:space="0" w:color="auto"/>
            <w:left w:val="single" w:sz="4" w:space="0" w:color="auto"/>
            <w:bottom w:val="single" w:sz="4" w:space="0" w:color="auto"/>
            <w:right w:val="single" w:sz="4" w:space="0" w:color="auto"/>
          </w:tcBorders>
        </w:tcPr>
        <w:p w:rsidR="002E35D7" w:rsidRDefault="002E35D7" w:rsidP="00685C9C">
          <w:pPr>
            <w:rPr>
              <w:sz w:val="18"/>
            </w:rPr>
          </w:pPr>
          <w:r>
            <w:rPr>
              <w:sz w:val="18"/>
            </w:rPr>
            <w:t>Version:</w:t>
          </w:r>
        </w:p>
        <w:p w:rsidR="002E35D7" w:rsidRDefault="002E35D7" w:rsidP="00685C9C">
          <w:pPr>
            <w:pStyle w:val="BodyText2"/>
          </w:pPr>
          <w:r>
            <w:t>1</w:t>
          </w:r>
        </w:p>
      </w:tc>
      <w:tc>
        <w:tcPr>
          <w:tcW w:w="2022"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Authorising initials:</w:t>
          </w:r>
        </w:p>
        <w:p w:rsidR="002E35D7" w:rsidRDefault="002E35D7" w:rsidP="00685C9C">
          <w:pPr>
            <w:pStyle w:val="BodyText2"/>
          </w:pPr>
        </w:p>
      </w:tc>
    </w:tr>
  </w:tbl>
  <w:p w:rsidR="00C43C73" w:rsidRPr="00FF2CB3" w:rsidRDefault="00C43C73" w:rsidP="00E11800">
    <w:pPr>
      <w:rPr>
        <w:rFonts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1134"/>
      <w:gridCol w:w="1944"/>
      <w:gridCol w:w="1318"/>
      <w:gridCol w:w="712"/>
      <w:gridCol w:w="1310"/>
    </w:tblGrid>
    <w:tr w:rsidR="002E35D7" w:rsidTr="00685C9C">
      <w:trPr>
        <w:trHeight w:val="689"/>
        <w:jc w:val="center"/>
      </w:trPr>
      <w:tc>
        <w:tcPr>
          <w:tcW w:w="3585" w:type="dxa"/>
          <w:tcBorders>
            <w:top w:val="single" w:sz="4" w:space="0" w:color="auto"/>
            <w:left w:val="single" w:sz="4" w:space="0" w:color="auto"/>
            <w:bottom w:val="single" w:sz="4" w:space="0" w:color="auto"/>
            <w:right w:val="single" w:sz="4" w:space="0" w:color="auto"/>
          </w:tcBorders>
          <w:vAlign w:val="center"/>
        </w:tcPr>
        <w:p w:rsidR="002E35D7" w:rsidRDefault="002E35D7" w:rsidP="00685C9C">
          <w:pPr>
            <w:tabs>
              <w:tab w:val="left" w:pos="266"/>
              <w:tab w:val="center" w:pos="2040"/>
            </w:tabs>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E35D7" w:rsidRDefault="002E35D7" w:rsidP="00685C9C">
          <w:pPr>
            <w:pStyle w:val="BodyText"/>
          </w:pPr>
          <w:r>
            <w:t>Document reference:</w:t>
          </w:r>
        </w:p>
      </w:tc>
      <w:tc>
        <w:tcPr>
          <w:tcW w:w="1944" w:type="dxa"/>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Effective date:</w:t>
          </w:r>
        </w:p>
        <w:p w:rsidR="002E35D7" w:rsidRDefault="002E35D7" w:rsidP="00685C9C">
          <w:pPr>
            <w:pStyle w:val="BodyText2"/>
          </w:pPr>
          <w:r>
            <w:t>20 August 2013</w:t>
          </w:r>
        </w:p>
      </w:tc>
      <w:tc>
        <w:tcPr>
          <w:tcW w:w="2030"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Expiry date:</w:t>
          </w:r>
        </w:p>
        <w:p w:rsidR="002E35D7" w:rsidRDefault="002E35D7" w:rsidP="00685C9C">
          <w:pPr>
            <w:pStyle w:val="BodyText2"/>
          </w:pPr>
          <w:r>
            <w:t>20 August 2020</w:t>
          </w:r>
        </w:p>
      </w:tc>
      <w:tc>
        <w:tcPr>
          <w:tcW w:w="1310" w:type="dxa"/>
          <w:tcBorders>
            <w:top w:val="single" w:sz="4" w:space="0" w:color="auto"/>
            <w:left w:val="single" w:sz="4" w:space="0" w:color="auto"/>
            <w:bottom w:val="single" w:sz="4" w:space="0" w:color="auto"/>
            <w:right w:val="single" w:sz="4" w:space="0" w:color="auto"/>
          </w:tcBorders>
        </w:tcPr>
        <w:p w:rsidR="002E35D7" w:rsidRPr="006F45C3" w:rsidRDefault="002E35D7" w:rsidP="00685C9C">
          <w:pPr>
            <w:pStyle w:val="BodyText2"/>
            <w:rPr>
              <w:b w:val="0"/>
              <w:sz w:val="18"/>
            </w:rPr>
          </w:pPr>
          <w:r w:rsidRPr="006F45C3">
            <w:rPr>
              <w:b w:val="0"/>
              <w:sz w:val="18"/>
            </w:rPr>
            <w:t>Version:</w:t>
          </w:r>
        </w:p>
        <w:p w:rsidR="002E35D7" w:rsidRPr="00BD3F0A" w:rsidRDefault="002E35D7" w:rsidP="00685C9C">
          <w:pPr>
            <w:pStyle w:val="BodyText2"/>
          </w:pPr>
          <w:r>
            <w:t>1</w:t>
          </w:r>
        </w:p>
      </w:tc>
    </w:tr>
    <w:tr w:rsidR="002E35D7" w:rsidTr="00685C9C">
      <w:trPr>
        <w:jc w:val="center"/>
      </w:trPr>
      <w:tc>
        <w:tcPr>
          <w:tcW w:w="4719"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Title: SOP for Endotoxin Testing with the Charles River PTS.</w:t>
          </w:r>
        </w:p>
        <w:p w:rsidR="002E35D7" w:rsidRPr="006F45C3" w:rsidRDefault="002E35D7" w:rsidP="00685C9C">
          <w:pPr>
            <w:pStyle w:val="maintitle"/>
          </w:pPr>
        </w:p>
      </w:tc>
      <w:tc>
        <w:tcPr>
          <w:tcW w:w="1944" w:type="dxa"/>
          <w:tcBorders>
            <w:top w:val="single" w:sz="4" w:space="0" w:color="auto"/>
            <w:left w:val="single" w:sz="4" w:space="0" w:color="auto"/>
            <w:bottom w:val="single" w:sz="4" w:space="0" w:color="auto"/>
            <w:right w:val="single" w:sz="4" w:space="0" w:color="auto"/>
          </w:tcBorders>
        </w:tcPr>
        <w:p w:rsidR="002E35D7" w:rsidRDefault="002E35D7" w:rsidP="00685C9C">
          <w:pPr>
            <w:pStyle w:val="BodyText"/>
          </w:pPr>
          <w:r>
            <w:t>Type:</w:t>
          </w:r>
        </w:p>
        <w:p w:rsidR="002E35D7" w:rsidRPr="007D1AA2" w:rsidRDefault="002E35D7" w:rsidP="00685C9C">
          <w:pPr>
            <w:pStyle w:val="maintitle"/>
            <w:rPr>
              <w:sz w:val="22"/>
              <w:szCs w:val="22"/>
            </w:rPr>
          </w:pPr>
          <w:r>
            <w:rPr>
              <w:sz w:val="22"/>
              <w:szCs w:val="22"/>
            </w:rPr>
            <w:t>Protocol</w:t>
          </w:r>
        </w:p>
      </w:tc>
      <w:tc>
        <w:tcPr>
          <w:tcW w:w="1318" w:type="dxa"/>
          <w:tcBorders>
            <w:top w:val="single" w:sz="4" w:space="0" w:color="auto"/>
            <w:left w:val="single" w:sz="4" w:space="0" w:color="auto"/>
            <w:bottom w:val="single" w:sz="4" w:space="0" w:color="auto"/>
            <w:right w:val="single" w:sz="4" w:space="0" w:color="auto"/>
          </w:tcBorders>
        </w:tcPr>
        <w:p w:rsidR="002E35D7" w:rsidRDefault="002E35D7" w:rsidP="00685C9C">
          <w:pPr>
            <w:rPr>
              <w:sz w:val="18"/>
            </w:rPr>
          </w:pPr>
          <w:r>
            <w:rPr>
              <w:sz w:val="18"/>
            </w:rPr>
            <w:t>Version:</w:t>
          </w:r>
        </w:p>
        <w:p w:rsidR="002E35D7" w:rsidRDefault="002E35D7" w:rsidP="00685C9C">
          <w:pPr>
            <w:pStyle w:val="BodyText2"/>
          </w:pPr>
          <w:r>
            <w:t>1</w:t>
          </w:r>
        </w:p>
      </w:tc>
      <w:tc>
        <w:tcPr>
          <w:tcW w:w="2022" w:type="dxa"/>
          <w:gridSpan w:val="2"/>
          <w:tcBorders>
            <w:top w:val="single" w:sz="4" w:space="0" w:color="auto"/>
            <w:left w:val="single" w:sz="4" w:space="0" w:color="auto"/>
            <w:bottom w:val="single" w:sz="4" w:space="0" w:color="auto"/>
            <w:right w:val="single" w:sz="4" w:space="0" w:color="auto"/>
          </w:tcBorders>
        </w:tcPr>
        <w:p w:rsidR="002E35D7" w:rsidRDefault="002E35D7" w:rsidP="00685C9C">
          <w:pPr>
            <w:rPr>
              <w:sz w:val="18"/>
              <w:szCs w:val="20"/>
            </w:rPr>
          </w:pPr>
          <w:r>
            <w:rPr>
              <w:sz w:val="18"/>
              <w:szCs w:val="20"/>
            </w:rPr>
            <w:t>Authorising initials:</w:t>
          </w:r>
        </w:p>
        <w:p w:rsidR="002E35D7" w:rsidRDefault="002E35D7" w:rsidP="00685C9C">
          <w:pPr>
            <w:pStyle w:val="BodyText2"/>
          </w:pPr>
        </w:p>
      </w:tc>
    </w:tr>
  </w:tbl>
  <w:p w:rsidR="00C43C73" w:rsidRPr="00F006C0" w:rsidRDefault="00C43C73" w:rsidP="00F00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32E"/>
    <w:multiLevelType w:val="hybridMultilevel"/>
    <w:tmpl w:val="4FDE7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5C6693"/>
    <w:multiLevelType w:val="hybridMultilevel"/>
    <w:tmpl w:val="A3601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7CF22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80062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C2C07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886D66"/>
    <w:multiLevelType w:val="hybridMultilevel"/>
    <w:tmpl w:val="DA36E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EA131EC"/>
    <w:multiLevelType w:val="hybridMultilevel"/>
    <w:tmpl w:val="E52EC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6670709"/>
    <w:multiLevelType w:val="hybridMultilevel"/>
    <w:tmpl w:val="448AE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C402B0"/>
    <w:multiLevelType w:val="singleLevel"/>
    <w:tmpl w:val="F620B7A0"/>
    <w:lvl w:ilvl="0">
      <w:start w:val="1"/>
      <w:numFmt w:val="decimal"/>
      <w:lvlText w:val="%1."/>
      <w:lvlJc w:val="left"/>
      <w:pPr>
        <w:tabs>
          <w:tab w:val="num" w:pos="720"/>
        </w:tabs>
        <w:ind w:left="720" w:hanging="360"/>
      </w:pPr>
      <w:rPr>
        <w:b/>
      </w:rPr>
    </w:lvl>
  </w:abstractNum>
  <w:abstractNum w:abstractNumId="9">
    <w:nsid w:val="41F877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4E0150C"/>
    <w:multiLevelType w:val="hybridMultilevel"/>
    <w:tmpl w:val="67AA5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5674998"/>
    <w:multiLevelType w:val="hybridMultilevel"/>
    <w:tmpl w:val="206E7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C633AB3"/>
    <w:multiLevelType w:val="hybridMultilevel"/>
    <w:tmpl w:val="317AA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FBD4A3A"/>
    <w:multiLevelType w:val="hybridMultilevel"/>
    <w:tmpl w:val="B74C8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3A52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53406A5"/>
    <w:multiLevelType w:val="hybridMultilevel"/>
    <w:tmpl w:val="3912E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C9451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DE02F38"/>
    <w:multiLevelType w:val="hybridMultilevel"/>
    <w:tmpl w:val="538CB4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8DF74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B113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F945863"/>
    <w:multiLevelType w:val="hybridMultilevel"/>
    <w:tmpl w:val="0CE65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9D408FE"/>
    <w:multiLevelType w:val="hybridMultilevel"/>
    <w:tmpl w:val="49469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8"/>
  </w:num>
  <w:num w:numId="5">
    <w:abstractNumId w:val="3"/>
  </w:num>
  <w:num w:numId="6">
    <w:abstractNumId w:val="19"/>
  </w:num>
  <w:num w:numId="7">
    <w:abstractNumId w:val="2"/>
  </w:num>
  <w:num w:numId="8">
    <w:abstractNumId w:val="4"/>
  </w:num>
  <w:num w:numId="9">
    <w:abstractNumId w:val="14"/>
  </w:num>
  <w:num w:numId="10">
    <w:abstractNumId w:val="17"/>
  </w:num>
  <w:num w:numId="11">
    <w:abstractNumId w:val="5"/>
  </w:num>
  <w:num w:numId="12">
    <w:abstractNumId w:val="1"/>
  </w:num>
  <w:num w:numId="13">
    <w:abstractNumId w:val="10"/>
  </w:num>
  <w:num w:numId="14">
    <w:abstractNumId w:val="12"/>
  </w:num>
  <w:num w:numId="15">
    <w:abstractNumId w:val="13"/>
  </w:num>
  <w:num w:numId="16">
    <w:abstractNumId w:val="6"/>
  </w:num>
  <w:num w:numId="17">
    <w:abstractNumId w:val="7"/>
  </w:num>
  <w:num w:numId="18">
    <w:abstractNumId w:val="11"/>
  </w:num>
  <w:num w:numId="19">
    <w:abstractNumId w:val="20"/>
  </w:num>
  <w:num w:numId="20">
    <w:abstractNumId w:val="2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00"/>
    <w:rsid w:val="0001728B"/>
    <w:rsid w:val="000216F8"/>
    <w:rsid w:val="0002278A"/>
    <w:rsid w:val="000526D6"/>
    <w:rsid w:val="00060755"/>
    <w:rsid w:val="000B09CB"/>
    <w:rsid w:val="000E6E4C"/>
    <w:rsid w:val="0010097D"/>
    <w:rsid w:val="001162F4"/>
    <w:rsid w:val="00130D4F"/>
    <w:rsid w:val="00132D30"/>
    <w:rsid w:val="00145FB0"/>
    <w:rsid w:val="00182F5E"/>
    <w:rsid w:val="00197005"/>
    <w:rsid w:val="001B3827"/>
    <w:rsid w:val="001B4D1C"/>
    <w:rsid w:val="00205068"/>
    <w:rsid w:val="00237B51"/>
    <w:rsid w:val="00252E41"/>
    <w:rsid w:val="00285537"/>
    <w:rsid w:val="002A49C2"/>
    <w:rsid w:val="002C6B66"/>
    <w:rsid w:val="002D7B85"/>
    <w:rsid w:val="002E35D7"/>
    <w:rsid w:val="003012DE"/>
    <w:rsid w:val="00311792"/>
    <w:rsid w:val="00357909"/>
    <w:rsid w:val="00357B18"/>
    <w:rsid w:val="00422D03"/>
    <w:rsid w:val="0042694F"/>
    <w:rsid w:val="00436367"/>
    <w:rsid w:val="0044575C"/>
    <w:rsid w:val="004560E5"/>
    <w:rsid w:val="0046481E"/>
    <w:rsid w:val="00492F0B"/>
    <w:rsid w:val="004B4716"/>
    <w:rsid w:val="004C1E90"/>
    <w:rsid w:val="004D16C8"/>
    <w:rsid w:val="00505603"/>
    <w:rsid w:val="005462FE"/>
    <w:rsid w:val="00584A17"/>
    <w:rsid w:val="005919CF"/>
    <w:rsid w:val="00594C56"/>
    <w:rsid w:val="005E014A"/>
    <w:rsid w:val="00656DF3"/>
    <w:rsid w:val="0066206A"/>
    <w:rsid w:val="00676E6D"/>
    <w:rsid w:val="00685C9C"/>
    <w:rsid w:val="006C3582"/>
    <w:rsid w:val="006E41AB"/>
    <w:rsid w:val="006F45C3"/>
    <w:rsid w:val="00727A9E"/>
    <w:rsid w:val="007C19CA"/>
    <w:rsid w:val="00841376"/>
    <w:rsid w:val="00843676"/>
    <w:rsid w:val="00865B70"/>
    <w:rsid w:val="00865E0A"/>
    <w:rsid w:val="008706D7"/>
    <w:rsid w:val="00873019"/>
    <w:rsid w:val="00886E93"/>
    <w:rsid w:val="00887E0E"/>
    <w:rsid w:val="008C4A83"/>
    <w:rsid w:val="008C5F9C"/>
    <w:rsid w:val="008F0E4E"/>
    <w:rsid w:val="008F153C"/>
    <w:rsid w:val="00943D48"/>
    <w:rsid w:val="00960343"/>
    <w:rsid w:val="0098226A"/>
    <w:rsid w:val="009914EE"/>
    <w:rsid w:val="009A7161"/>
    <w:rsid w:val="009C2E34"/>
    <w:rsid w:val="009D1758"/>
    <w:rsid w:val="009D5B96"/>
    <w:rsid w:val="009F259C"/>
    <w:rsid w:val="00A2070B"/>
    <w:rsid w:val="00A41608"/>
    <w:rsid w:val="00A43D21"/>
    <w:rsid w:val="00A55CD8"/>
    <w:rsid w:val="00A601EF"/>
    <w:rsid w:val="00A64DDE"/>
    <w:rsid w:val="00AE241C"/>
    <w:rsid w:val="00B26630"/>
    <w:rsid w:val="00B314D3"/>
    <w:rsid w:val="00B32BEC"/>
    <w:rsid w:val="00BF75F1"/>
    <w:rsid w:val="00C12962"/>
    <w:rsid w:val="00C36ACB"/>
    <w:rsid w:val="00C43C73"/>
    <w:rsid w:val="00C56756"/>
    <w:rsid w:val="00C75DD8"/>
    <w:rsid w:val="00C96CDD"/>
    <w:rsid w:val="00CA7CDE"/>
    <w:rsid w:val="00CD5CCA"/>
    <w:rsid w:val="00D17521"/>
    <w:rsid w:val="00D27DC5"/>
    <w:rsid w:val="00D35D03"/>
    <w:rsid w:val="00D510FD"/>
    <w:rsid w:val="00D603AB"/>
    <w:rsid w:val="00D63F12"/>
    <w:rsid w:val="00D72AEF"/>
    <w:rsid w:val="00D80B73"/>
    <w:rsid w:val="00DA5D7E"/>
    <w:rsid w:val="00DA6460"/>
    <w:rsid w:val="00DC421A"/>
    <w:rsid w:val="00DD29D2"/>
    <w:rsid w:val="00E11800"/>
    <w:rsid w:val="00E21564"/>
    <w:rsid w:val="00E3060E"/>
    <w:rsid w:val="00E40FC6"/>
    <w:rsid w:val="00E42634"/>
    <w:rsid w:val="00E5741A"/>
    <w:rsid w:val="00E96ED8"/>
    <w:rsid w:val="00EB1122"/>
    <w:rsid w:val="00EC0768"/>
    <w:rsid w:val="00ED3CB5"/>
    <w:rsid w:val="00EF281A"/>
    <w:rsid w:val="00EF72E3"/>
    <w:rsid w:val="00F006C0"/>
    <w:rsid w:val="00F21E0C"/>
    <w:rsid w:val="00F33732"/>
    <w:rsid w:val="00F431CE"/>
    <w:rsid w:val="00F46ED3"/>
    <w:rsid w:val="00FB26AE"/>
    <w:rsid w:val="00FB3E40"/>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800"/>
    <w:rPr>
      <w:rFonts w:ascii="Arial" w:hAnsi="Arial"/>
      <w:sz w:val="22"/>
      <w:szCs w:val="24"/>
      <w:lang w:val="en-AU"/>
    </w:rPr>
  </w:style>
  <w:style w:type="paragraph" w:styleId="Heading2">
    <w:name w:val="heading 2"/>
    <w:basedOn w:val="Normal"/>
    <w:next w:val="Normal"/>
    <w:qFormat/>
    <w:rsid w:val="00E11800"/>
    <w:pPr>
      <w:keepNext/>
      <w:outlineLvl w:val="1"/>
    </w:pPr>
    <w:rPr>
      <w:b/>
      <w:sz w:val="28"/>
      <w:szCs w:val="22"/>
      <w:lang w:val="en-NZ"/>
    </w:rPr>
  </w:style>
  <w:style w:type="paragraph" w:styleId="Heading3">
    <w:name w:val="heading 3"/>
    <w:basedOn w:val="Normal"/>
    <w:next w:val="Normal"/>
    <w:qFormat/>
    <w:rsid w:val="00E11800"/>
    <w:pPr>
      <w:keepNext/>
      <w:spacing w:before="240" w:after="60"/>
      <w:outlineLvl w:val="2"/>
    </w:pPr>
    <w:rPr>
      <w:rFonts w:cs="Arial"/>
      <w:b/>
      <w:bCs/>
      <w:sz w:val="26"/>
      <w:szCs w:val="26"/>
    </w:rPr>
  </w:style>
  <w:style w:type="paragraph" w:styleId="Heading4">
    <w:name w:val="heading 4"/>
    <w:basedOn w:val="Normal"/>
    <w:next w:val="Normal"/>
    <w:qFormat/>
    <w:rsid w:val="00E1180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1800"/>
    <w:pPr>
      <w:keepNext/>
      <w:outlineLvl w:val="4"/>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11800"/>
    <w:pPr>
      <w:tabs>
        <w:tab w:val="center" w:pos="4153"/>
        <w:tab w:val="right" w:pos="8306"/>
      </w:tabs>
    </w:pPr>
  </w:style>
  <w:style w:type="paragraph" w:styleId="BodyText">
    <w:name w:val="Body Text"/>
    <w:aliases w:val="Header Text Bold"/>
    <w:basedOn w:val="Normal"/>
    <w:link w:val="BodyTextChar"/>
    <w:rsid w:val="00E11800"/>
    <w:rPr>
      <w:rFonts w:cs="Arial"/>
      <w:sz w:val="18"/>
      <w:szCs w:val="18"/>
    </w:rPr>
  </w:style>
  <w:style w:type="character" w:styleId="PageNumber">
    <w:name w:val="page number"/>
    <w:rsid w:val="00E11800"/>
    <w:rPr>
      <w:rFonts w:ascii="Arial" w:hAnsi="Arial"/>
      <w:sz w:val="20"/>
    </w:rPr>
  </w:style>
  <w:style w:type="paragraph" w:styleId="BodyText2">
    <w:name w:val="Body Text 2"/>
    <w:aliases w:val="Body Text Bold"/>
    <w:basedOn w:val="BodyText"/>
    <w:rsid w:val="00E11800"/>
    <w:pPr>
      <w:jc w:val="center"/>
    </w:pPr>
    <w:rPr>
      <w:b/>
      <w:sz w:val="22"/>
    </w:rPr>
  </w:style>
  <w:style w:type="paragraph" w:customStyle="1" w:styleId="Name">
    <w:name w:val="Name"/>
    <w:basedOn w:val="BodyText"/>
    <w:link w:val="NameChar"/>
    <w:rsid w:val="00E11800"/>
    <w:rPr>
      <w:rFonts w:ascii="Times New Roman" w:hAnsi="Times New Roman"/>
    </w:rPr>
  </w:style>
  <w:style w:type="paragraph" w:customStyle="1" w:styleId="maintitle">
    <w:name w:val="main title"/>
    <w:basedOn w:val="BodyText"/>
    <w:rsid w:val="00E11800"/>
    <w:pPr>
      <w:jc w:val="center"/>
    </w:pPr>
    <w:rPr>
      <w:b/>
      <w:sz w:val="24"/>
      <w:szCs w:val="24"/>
    </w:rPr>
  </w:style>
  <w:style w:type="paragraph" w:customStyle="1" w:styleId="Position">
    <w:name w:val="Position"/>
    <w:basedOn w:val="Name"/>
    <w:link w:val="PositionChar"/>
    <w:rsid w:val="00E11800"/>
    <w:rPr>
      <w:rFonts w:ascii="Arial" w:hAnsi="Arial"/>
      <w:b/>
      <w:i/>
    </w:rPr>
  </w:style>
  <w:style w:type="character" w:customStyle="1" w:styleId="BodyTextChar">
    <w:name w:val="Body Text Char"/>
    <w:aliases w:val="Header Text Bold Char"/>
    <w:link w:val="BodyText"/>
    <w:rsid w:val="00E11800"/>
    <w:rPr>
      <w:rFonts w:ascii="Arial" w:hAnsi="Arial" w:cs="Arial"/>
      <w:sz w:val="18"/>
      <w:szCs w:val="18"/>
      <w:lang w:val="en-AU" w:eastAsia="en-US" w:bidi="ar-SA"/>
    </w:rPr>
  </w:style>
  <w:style w:type="character" w:customStyle="1" w:styleId="NameChar">
    <w:name w:val="Name Char"/>
    <w:basedOn w:val="BodyTextChar"/>
    <w:link w:val="Name"/>
    <w:rsid w:val="00E11800"/>
    <w:rPr>
      <w:rFonts w:ascii="Arial" w:hAnsi="Arial" w:cs="Arial"/>
      <w:sz w:val="18"/>
      <w:szCs w:val="18"/>
      <w:lang w:val="en-AU" w:eastAsia="en-US" w:bidi="ar-SA"/>
    </w:rPr>
  </w:style>
  <w:style w:type="character" w:customStyle="1" w:styleId="PositionChar">
    <w:name w:val="Position Char"/>
    <w:link w:val="Position"/>
    <w:rsid w:val="00E11800"/>
    <w:rPr>
      <w:rFonts w:ascii="Arial" w:hAnsi="Arial" w:cs="Arial"/>
      <w:b/>
      <w:i/>
      <w:sz w:val="18"/>
      <w:szCs w:val="18"/>
      <w:lang w:val="en-AU" w:eastAsia="en-US" w:bidi="ar-SA"/>
    </w:rPr>
  </w:style>
  <w:style w:type="table" w:styleId="TableGrid">
    <w:name w:val="Table Grid"/>
    <w:basedOn w:val="TableNormal"/>
    <w:rsid w:val="00E11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F0E4E"/>
    <w:rPr>
      <w:rFonts w:ascii="Tahoma" w:hAnsi="Tahoma" w:cs="Tahoma"/>
      <w:sz w:val="16"/>
      <w:szCs w:val="16"/>
    </w:rPr>
  </w:style>
  <w:style w:type="paragraph" w:styleId="Footer">
    <w:name w:val="footer"/>
    <w:basedOn w:val="Normal"/>
    <w:link w:val="FooterChar"/>
    <w:uiPriority w:val="99"/>
    <w:rsid w:val="00A64DDE"/>
    <w:pPr>
      <w:tabs>
        <w:tab w:val="center" w:pos="4513"/>
        <w:tab w:val="right" w:pos="9026"/>
      </w:tabs>
    </w:pPr>
  </w:style>
  <w:style w:type="character" w:customStyle="1" w:styleId="FooterChar">
    <w:name w:val="Footer Char"/>
    <w:link w:val="Footer"/>
    <w:uiPriority w:val="99"/>
    <w:rsid w:val="00A64DDE"/>
    <w:rPr>
      <w:rFonts w:ascii="Arial" w:hAnsi="Arial"/>
      <w:sz w:val="22"/>
      <w:szCs w:val="24"/>
      <w:lang w:val="en-AU" w:eastAsia="en-US"/>
    </w:rPr>
  </w:style>
  <w:style w:type="character" w:customStyle="1" w:styleId="HeaderChar">
    <w:name w:val="Header Char"/>
    <w:link w:val="Header"/>
    <w:uiPriority w:val="99"/>
    <w:rsid w:val="00C75DD8"/>
    <w:rPr>
      <w:rFonts w:ascii="Arial" w:hAnsi="Arial"/>
      <w:sz w:val="22"/>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800"/>
    <w:rPr>
      <w:rFonts w:ascii="Arial" w:hAnsi="Arial"/>
      <w:sz w:val="22"/>
      <w:szCs w:val="24"/>
      <w:lang w:val="en-AU"/>
    </w:rPr>
  </w:style>
  <w:style w:type="paragraph" w:styleId="Heading2">
    <w:name w:val="heading 2"/>
    <w:basedOn w:val="Normal"/>
    <w:next w:val="Normal"/>
    <w:qFormat/>
    <w:rsid w:val="00E11800"/>
    <w:pPr>
      <w:keepNext/>
      <w:outlineLvl w:val="1"/>
    </w:pPr>
    <w:rPr>
      <w:b/>
      <w:sz w:val="28"/>
      <w:szCs w:val="22"/>
      <w:lang w:val="en-NZ"/>
    </w:rPr>
  </w:style>
  <w:style w:type="paragraph" w:styleId="Heading3">
    <w:name w:val="heading 3"/>
    <w:basedOn w:val="Normal"/>
    <w:next w:val="Normal"/>
    <w:qFormat/>
    <w:rsid w:val="00E11800"/>
    <w:pPr>
      <w:keepNext/>
      <w:spacing w:before="240" w:after="60"/>
      <w:outlineLvl w:val="2"/>
    </w:pPr>
    <w:rPr>
      <w:rFonts w:cs="Arial"/>
      <w:b/>
      <w:bCs/>
      <w:sz w:val="26"/>
      <w:szCs w:val="26"/>
    </w:rPr>
  </w:style>
  <w:style w:type="paragraph" w:styleId="Heading4">
    <w:name w:val="heading 4"/>
    <w:basedOn w:val="Normal"/>
    <w:next w:val="Normal"/>
    <w:qFormat/>
    <w:rsid w:val="00E1180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1800"/>
    <w:pPr>
      <w:keepNext/>
      <w:outlineLvl w:val="4"/>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11800"/>
    <w:pPr>
      <w:tabs>
        <w:tab w:val="center" w:pos="4153"/>
        <w:tab w:val="right" w:pos="8306"/>
      </w:tabs>
    </w:pPr>
  </w:style>
  <w:style w:type="paragraph" w:styleId="BodyText">
    <w:name w:val="Body Text"/>
    <w:aliases w:val="Header Text Bold"/>
    <w:basedOn w:val="Normal"/>
    <w:link w:val="BodyTextChar"/>
    <w:rsid w:val="00E11800"/>
    <w:rPr>
      <w:rFonts w:cs="Arial"/>
      <w:sz w:val="18"/>
      <w:szCs w:val="18"/>
    </w:rPr>
  </w:style>
  <w:style w:type="character" w:styleId="PageNumber">
    <w:name w:val="page number"/>
    <w:rsid w:val="00E11800"/>
    <w:rPr>
      <w:rFonts w:ascii="Arial" w:hAnsi="Arial"/>
      <w:sz w:val="20"/>
    </w:rPr>
  </w:style>
  <w:style w:type="paragraph" w:styleId="BodyText2">
    <w:name w:val="Body Text 2"/>
    <w:aliases w:val="Body Text Bold"/>
    <w:basedOn w:val="BodyText"/>
    <w:rsid w:val="00E11800"/>
    <w:pPr>
      <w:jc w:val="center"/>
    </w:pPr>
    <w:rPr>
      <w:b/>
      <w:sz w:val="22"/>
    </w:rPr>
  </w:style>
  <w:style w:type="paragraph" w:customStyle="1" w:styleId="Name">
    <w:name w:val="Name"/>
    <w:basedOn w:val="BodyText"/>
    <w:link w:val="NameChar"/>
    <w:rsid w:val="00E11800"/>
    <w:rPr>
      <w:rFonts w:ascii="Times New Roman" w:hAnsi="Times New Roman"/>
    </w:rPr>
  </w:style>
  <w:style w:type="paragraph" w:customStyle="1" w:styleId="maintitle">
    <w:name w:val="main title"/>
    <w:basedOn w:val="BodyText"/>
    <w:rsid w:val="00E11800"/>
    <w:pPr>
      <w:jc w:val="center"/>
    </w:pPr>
    <w:rPr>
      <w:b/>
      <w:sz w:val="24"/>
      <w:szCs w:val="24"/>
    </w:rPr>
  </w:style>
  <w:style w:type="paragraph" w:customStyle="1" w:styleId="Position">
    <w:name w:val="Position"/>
    <w:basedOn w:val="Name"/>
    <w:link w:val="PositionChar"/>
    <w:rsid w:val="00E11800"/>
    <w:rPr>
      <w:rFonts w:ascii="Arial" w:hAnsi="Arial"/>
      <w:b/>
      <w:i/>
    </w:rPr>
  </w:style>
  <w:style w:type="character" w:customStyle="1" w:styleId="BodyTextChar">
    <w:name w:val="Body Text Char"/>
    <w:aliases w:val="Header Text Bold Char"/>
    <w:link w:val="BodyText"/>
    <w:rsid w:val="00E11800"/>
    <w:rPr>
      <w:rFonts w:ascii="Arial" w:hAnsi="Arial" w:cs="Arial"/>
      <w:sz w:val="18"/>
      <w:szCs w:val="18"/>
      <w:lang w:val="en-AU" w:eastAsia="en-US" w:bidi="ar-SA"/>
    </w:rPr>
  </w:style>
  <w:style w:type="character" w:customStyle="1" w:styleId="NameChar">
    <w:name w:val="Name Char"/>
    <w:basedOn w:val="BodyTextChar"/>
    <w:link w:val="Name"/>
    <w:rsid w:val="00E11800"/>
    <w:rPr>
      <w:rFonts w:ascii="Arial" w:hAnsi="Arial" w:cs="Arial"/>
      <w:sz w:val="18"/>
      <w:szCs w:val="18"/>
      <w:lang w:val="en-AU" w:eastAsia="en-US" w:bidi="ar-SA"/>
    </w:rPr>
  </w:style>
  <w:style w:type="character" w:customStyle="1" w:styleId="PositionChar">
    <w:name w:val="Position Char"/>
    <w:link w:val="Position"/>
    <w:rsid w:val="00E11800"/>
    <w:rPr>
      <w:rFonts w:ascii="Arial" w:hAnsi="Arial" w:cs="Arial"/>
      <w:b/>
      <w:i/>
      <w:sz w:val="18"/>
      <w:szCs w:val="18"/>
      <w:lang w:val="en-AU" w:eastAsia="en-US" w:bidi="ar-SA"/>
    </w:rPr>
  </w:style>
  <w:style w:type="table" w:styleId="TableGrid">
    <w:name w:val="Table Grid"/>
    <w:basedOn w:val="TableNormal"/>
    <w:rsid w:val="00E11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F0E4E"/>
    <w:rPr>
      <w:rFonts w:ascii="Tahoma" w:hAnsi="Tahoma" w:cs="Tahoma"/>
      <w:sz w:val="16"/>
      <w:szCs w:val="16"/>
    </w:rPr>
  </w:style>
  <w:style w:type="paragraph" w:styleId="Footer">
    <w:name w:val="footer"/>
    <w:basedOn w:val="Normal"/>
    <w:link w:val="FooterChar"/>
    <w:uiPriority w:val="99"/>
    <w:rsid w:val="00A64DDE"/>
    <w:pPr>
      <w:tabs>
        <w:tab w:val="center" w:pos="4513"/>
        <w:tab w:val="right" w:pos="9026"/>
      </w:tabs>
    </w:pPr>
  </w:style>
  <w:style w:type="character" w:customStyle="1" w:styleId="FooterChar">
    <w:name w:val="Footer Char"/>
    <w:link w:val="Footer"/>
    <w:uiPriority w:val="99"/>
    <w:rsid w:val="00A64DDE"/>
    <w:rPr>
      <w:rFonts w:ascii="Arial" w:hAnsi="Arial"/>
      <w:sz w:val="22"/>
      <w:szCs w:val="24"/>
      <w:lang w:val="en-AU" w:eastAsia="en-US"/>
    </w:rPr>
  </w:style>
  <w:style w:type="character" w:customStyle="1" w:styleId="HeaderChar">
    <w:name w:val="Header Char"/>
    <w:link w:val="Header"/>
    <w:uiPriority w:val="99"/>
    <w:rsid w:val="00C75DD8"/>
    <w:rPr>
      <w:rFonts w:ascii="Arial" w:hAnsi="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EC07-1BAB-4037-9C27-C722A941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Waikato District Health Board</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Title</dc:creator>
  <cp:keywords>Classification</cp:keywords>
  <dc:description>Version</dc:description>
  <cp:lastModifiedBy>SC Bio Ltd</cp:lastModifiedBy>
  <cp:revision>2</cp:revision>
  <cp:lastPrinted>2011-08-08T02:41:00Z</cp:lastPrinted>
  <dcterms:created xsi:type="dcterms:W3CDTF">2014-04-16T22:53:00Z</dcterms:created>
  <dcterms:modified xsi:type="dcterms:W3CDTF">2014-04-16T22:53:00Z</dcterms:modified>
</cp:coreProperties>
</file>